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C9120" w14:textId="77777777" w:rsidR="006C3CDD" w:rsidRPr="00F303B8" w:rsidRDefault="006C3CDD" w:rsidP="006C3CDD">
      <w:pPr>
        <w:jc w:val="center"/>
        <w:rPr>
          <w:b/>
          <w:lang w:val="es-ES_tradnl"/>
        </w:rPr>
      </w:pPr>
      <w:r w:rsidRPr="00716288">
        <w:rPr>
          <w:b/>
          <w:lang w:val="es-ES"/>
        </w:rPr>
        <w:t>Términos de referencia</w:t>
      </w:r>
    </w:p>
    <w:p w14:paraId="3F086C17" w14:textId="2E875149" w:rsidR="006C3CDD" w:rsidRPr="00F303B8" w:rsidRDefault="006C3CDD" w:rsidP="006C3CDD">
      <w:pPr>
        <w:jc w:val="center"/>
        <w:rPr>
          <w:b/>
          <w:lang w:val="es-ES_tradnl"/>
        </w:rPr>
      </w:pPr>
      <w:proofErr w:type="spellStart"/>
      <w:r w:rsidRPr="00716288">
        <w:rPr>
          <w:b/>
          <w:lang w:val="es-ES"/>
        </w:rPr>
        <w:t>Consultor</w:t>
      </w:r>
      <w:r w:rsidR="007F5700">
        <w:rPr>
          <w:b/>
          <w:lang w:val="es-ES"/>
        </w:rPr>
        <w:t>ia</w:t>
      </w:r>
      <w:bookmarkStart w:id="0" w:name="_GoBack"/>
      <w:bookmarkEnd w:id="0"/>
      <w:proofErr w:type="spellEnd"/>
    </w:p>
    <w:p w14:paraId="412784BF" w14:textId="77777777" w:rsidR="008A49C6" w:rsidRPr="00F303B8" w:rsidRDefault="006C3CDD" w:rsidP="006C3CDD">
      <w:pPr>
        <w:jc w:val="center"/>
        <w:rPr>
          <w:lang w:val="es-ES_tradnl"/>
        </w:rPr>
      </w:pPr>
      <w:r w:rsidRPr="00716288">
        <w:rPr>
          <w:b/>
          <w:lang w:val="es-ES"/>
        </w:rPr>
        <w:t xml:space="preserve">Proyecto de Financiación Basada en Necesidades (NBF) </w:t>
      </w:r>
      <w:r w:rsidR="006327F3" w:rsidRPr="00716288">
        <w:rPr>
          <w:b/>
          <w:lang w:val="es-ES"/>
        </w:rPr>
        <w:t>-</w:t>
      </w:r>
      <w:r w:rsidR="00FB0D2A" w:rsidRPr="00716288">
        <w:rPr>
          <w:b/>
          <w:lang w:val="es-ES"/>
        </w:rPr>
        <w:t xml:space="preserve"> República Dominicana</w:t>
      </w:r>
    </w:p>
    <w:p w14:paraId="241C7DC9" w14:textId="07171E7D" w:rsidR="008A49C6" w:rsidRPr="00F303B8" w:rsidRDefault="00E85B65" w:rsidP="008A49C6">
      <w:pPr>
        <w:autoSpaceDE w:val="0"/>
        <w:autoSpaceDN w:val="0"/>
        <w:adjustRightInd w:val="0"/>
        <w:spacing w:line="276" w:lineRule="auto"/>
        <w:jc w:val="both"/>
        <w:rPr>
          <w:rFonts w:cs="Arial"/>
          <w:lang w:val="es-ES_tradnl"/>
        </w:rPr>
      </w:pPr>
      <w:r w:rsidRPr="00716288">
        <w:rPr>
          <w:lang w:val="es-ES"/>
        </w:rPr>
        <w:t xml:space="preserve">La </w:t>
      </w:r>
      <w:proofErr w:type="spellStart"/>
      <w:r w:rsidR="008941E0" w:rsidRPr="008941E0">
        <w:rPr>
          <w:rFonts w:cs="Arial"/>
          <w:lang w:val="es-DO"/>
        </w:rPr>
        <w:t>Windward</w:t>
      </w:r>
      <w:proofErr w:type="spellEnd"/>
      <w:r w:rsidR="008941E0" w:rsidRPr="008941E0">
        <w:rPr>
          <w:rFonts w:cs="Arial"/>
          <w:lang w:val="es-DO"/>
        </w:rPr>
        <w:t xml:space="preserve"> </w:t>
      </w:r>
      <w:proofErr w:type="spellStart"/>
      <w:r w:rsidR="008941E0" w:rsidRPr="008941E0">
        <w:rPr>
          <w:rFonts w:cs="Arial"/>
          <w:lang w:val="es-DO"/>
        </w:rPr>
        <w:t>Islands</w:t>
      </w:r>
      <w:proofErr w:type="spellEnd"/>
      <w:r w:rsidR="008941E0" w:rsidRPr="008941E0">
        <w:rPr>
          <w:rFonts w:cs="Arial"/>
          <w:lang w:val="es-DO"/>
        </w:rPr>
        <w:t xml:space="preserve"> </w:t>
      </w:r>
      <w:proofErr w:type="spellStart"/>
      <w:r w:rsidR="008941E0" w:rsidRPr="008941E0">
        <w:rPr>
          <w:rFonts w:cs="Arial"/>
          <w:lang w:val="es-DO"/>
        </w:rPr>
        <w:t>Research</w:t>
      </w:r>
      <w:proofErr w:type="spellEnd"/>
      <w:r w:rsidR="008941E0" w:rsidRPr="008941E0">
        <w:rPr>
          <w:rFonts w:cs="Arial"/>
          <w:lang w:val="es-DO"/>
        </w:rPr>
        <w:t xml:space="preserve"> and </w:t>
      </w:r>
      <w:proofErr w:type="spellStart"/>
      <w:r w:rsidR="008941E0" w:rsidRPr="008941E0">
        <w:rPr>
          <w:rFonts w:cs="Arial"/>
          <w:lang w:val="es-DO"/>
        </w:rPr>
        <w:t>Education</w:t>
      </w:r>
      <w:proofErr w:type="spellEnd"/>
      <w:r w:rsidR="008941E0" w:rsidRPr="008941E0">
        <w:rPr>
          <w:rFonts w:cs="Arial"/>
          <w:lang w:val="es-DO"/>
        </w:rPr>
        <w:t xml:space="preserve"> </w:t>
      </w:r>
      <w:proofErr w:type="spellStart"/>
      <w:r w:rsidR="008941E0" w:rsidRPr="008941E0">
        <w:rPr>
          <w:rFonts w:cs="Arial"/>
          <w:lang w:val="es-DO"/>
        </w:rPr>
        <w:t>Foundation</w:t>
      </w:r>
      <w:proofErr w:type="spellEnd"/>
      <w:r w:rsidR="008941E0" w:rsidRPr="008941E0">
        <w:rPr>
          <w:rFonts w:cs="Arial"/>
          <w:lang w:val="es-DO"/>
        </w:rPr>
        <w:t xml:space="preserve"> (WINDREF)</w:t>
      </w:r>
      <w:r w:rsidR="008A49C6" w:rsidRPr="00716288">
        <w:rPr>
          <w:lang w:val="es-ES"/>
        </w:rPr>
        <w:t xml:space="preserve"> es una organización independiente sin fines de lucro ubicada en el campus </w:t>
      </w:r>
      <w:proofErr w:type="spellStart"/>
      <w:r w:rsidR="008A49C6" w:rsidRPr="00716288">
        <w:rPr>
          <w:lang w:val="es-ES"/>
        </w:rPr>
        <w:t>TrueBlue</w:t>
      </w:r>
      <w:proofErr w:type="spellEnd"/>
      <w:r w:rsidR="008A49C6" w:rsidRPr="00716288">
        <w:rPr>
          <w:lang w:val="es-ES"/>
        </w:rPr>
        <w:t xml:space="preserve"> de la Universidad de San Jorge (SGU</w:t>
      </w:r>
      <w:r w:rsidR="00B327FD">
        <w:rPr>
          <w:lang w:val="es-ES"/>
        </w:rPr>
        <w:t xml:space="preserve"> en ingl</w:t>
      </w:r>
      <w:r w:rsidR="00421E0A" w:rsidRPr="008941E0">
        <w:rPr>
          <w:lang w:val="es-ES"/>
        </w:rPr>
        <w:t>é</w:t>
      </w:r>
      <w:r w:rsidR="00B327FD">
        <w:rPr>
          <w:lang w:val="es-ES"/>
        </w:rPr>
        <w:t>s</w:t>
      </w:r>
      <w:r w:rsidR="008A49C6" w:rsidRPr="00716288">
        <w:rPr>
          <w:lang w:val="es-ES"/>
        </w:rPr>
        <w:t xml:space="preserve">), Facultad de Medicina de Granada. WINDREF desde el año 2013 se ha asociado con la </w:t>
      </w:r>
      <w:r w:rsidR="00B327FD">
        <w:rPr>
          <w:lang w:val="es-ES"/>
        </w:rPr>
        <w:t>Convención Marco de Naciones Unidas sobre el Cambio Climático (</w:t>
      </w:r>
      <w:r w:rsidR="008A49C6" w:rsidRPr="00716288">
        <w:rPr>
          <w:lang w:val="es-ES"/>
        </w:rPr>
        <w:t>CMNUCC</w:t>
      </w:r>
      <w:r w:rsidR="00B327FD">
        <w:rPr>
          <w:lang w:val="es-ES"/>
        </w:rPr>
        <w:t>)</w:t>
      </w:r>
      <w:r w:rsidR="008A49C6" w:rsidRPr="00716288">
        <w:rPr>
          <w:lang w:val="es-ES"/>
        </w:rPr>
        <w:t xml:space="preserve"> para establecer el </w:t>
      </w:r>
      <w:r w:rsidRPr="00716288">
        <w:rPr>
          <w:lang w:val="es-ES"/>
        </w:rPr>
        <w:t xml:space="preserve">Centro de Colaboración Regional </w:t>
      </w:r>
      <w:r w:rsidR="00B327FD">
        <w:rPr>
          <w:lang w:val="es-ES"/>
        </w:rPr>
        <w:t xml:space="preserve">(CCR) </w:t>
      </w:r>
      <w:r w:rsidRPr="00716288">
        <w:rPr>
          <w:lang w:val="es-ES"/>
        </w:rPr>
        <w:t xml:space="preserve">del Caribe </w:t>
      </w:r>
      <w:r w:rsidR="008941E0">
        <w:rPr>
          <w:lang w:val="es-ES"/>
        </w:rPr>
        <w:t xml:space="preserve">para </w:t>
      </w:r>
      <w:proofErr w:type="spellStart"/>
      <w:proofErr w:type="gramStart"/>
      <w:r w:rsidR="008941E0">
        <w:rPr>
          <w:lang w:val="es-ES"/>
        </w:rPr>
        <w:t>Grenada</w:t>
      </w:r>
      <w:proofErr w:type="spellEnd"/>
      <w:r w:rsidR="00B327FD">
        <w:rPr>
          <w:lang w:val="es-ES"/>
        </w:rPr>
        <w:t>,</w:t>
      </w:r>
      <w:r w:rsidRPr="00716288">
        <w:rPr>
          <w:lang w:val="es-ES"/>
        </w:rPr>
        <w:t xml:space="preserve">  San</w:t>
      </w:r>
      <w:proofErr w:type="gramEnd"/>
      <w:r w:rsidRPr="00716288">
        <w:rPr>
          <w:lang w:val="es-ES"/>
        </w:rPr>
        <w:t xml:space="preserve"> </w:t>
      </w:r>
      <w:r w:rsidR="008A49C6" w:rsidRPr="00716288">
        <w:rPr>
          <w:lang w:val="es-ES"/>
        </w:rPr>
        <w:t>Jorge (RCC St</w:t>
      </w:r>
      <w:r w:rsidR="00716288">
        <w:rPr>
          <w:lang w:val="es-ES"/>
        </w:rPr>
        <w:t xml:space="preserve">. </w:t>
      </w:r>
      <w:proofErr w:type="spellStart"/>
      <w:r w:rsidR="008A49C6" w:rsidRPr="00716288">
        <w:rPr>
          <w:lang w:val="es-ES"/>
        </w:rPr>
        <w:t>George's</w:t>
      </w:r>
      <w:proofErr w:type="spellEnd"/>
      <w:r w:rsidR="00B327FD">
        <w:rPr>
          <w:lang w:val="es-ES"/>
        </w:rPr>
        <w:t xml:space="preserve"> en ingl</w:t>
      </w:r>
      <w:r w:rsidR="00B327FD" w:rsidRPr="00B327FD">
        <w:rPr>
          <w:lang w:val="es-ES"/>
        </w:rPr>
        <w:t>é</w:t>
      </w:r>
      <w:r w:rsidR="00B327FD">
        <w:rPr>
          <w:lang w:val="es-ES"/>
        </w:rPr>
        <w:t>s</w:t>
      </w:r>
      <w:r w:rsidR="008A49C6" w:rsidRPr="00716288">
        <w:rPr>
          <w:lang w:val="es-ES"/>
        </w:rPr>
        <w:t>).</w:t>
      </w:r>
    </w:p>
    <w:p w14:paraId="74125F29" w14:textId="03492B6F" w:rsidR="008A49C6" w:rsidRPr="00F303B8" w:rsidRDefault="008A49C6" w:rsidP="001D012C">
      <w:pPr>
        <w:autoSpaceDE w:val="0"/>
        <w:autoSpaceDN w:val="0"/>
        <w:adjustRightInd w:val="0"/>
        <w:spacing w:line="276" w:lineRule="auto"/>
        <w:jc w:val="both"/>
        <w:rPr>
          <w:rFonts w:cs="Arial"/>
          <w:lang w:val="es-ES_tradnl"/>
        </w:rPr>
      </w:pPr>
      <w:r w:rsidRPr="00716288">
        <w:rPr>
          <w:lang w:val="es-ES"/>
        </w:rPr>
        <w:t>El RCC St</w:t>
      </w:r>
      <w:r w:rsidR="00716288">
        <w:rPr>
          <w:lang w:val="es-ES"/>
        </w:rPr>
        <w:t xml:space="preserve">. </w:t>
      </w:r>
      <w:proofErr w:type="spellStart"/>
      <w:r w:rsidRPr="00716288">
        <w:rPr>
          <w:lang w:val="es-ES"/>
        </w:rPr>
        <w:t>George's</w:t>
      </w:r>
      <w:proofErr w:type="spellEnd"/>
      <w:r w:rsidRPr="00716288">
        <w:rPr>
          <w:lang w:val="es-ES"/>
        </w:rPr>
        <w:t xml:space="preserve"> es uno de los </w:t>
      </w:r>
      <w:r w:rsidR="00686CA7" w:rsidRPr="00716288">
        <w:rPr>
          <w:lang w:val="es-ES"/>
        </w:rPr>
        <w:t>seis Centros</w:t>
      </w:r>
      <w:r w:rsidR="00FB0D2A" w:rsidRPr="00716288">
        <w:rPr>
          <w:lang w:val="es-ES"/>
        </w:rPr>
        <w:t xml:space="preserve"> Regionales establecidos a nivel mundial para prestar apoyo a los gobiernos, las </w:t>
      </w:r>
      <w:proofErr w:type="spellStart"/>
      <w:r w:rsidR="00FB0D2A" w:rsidRPr="00716288">
        <w:rPr>
          <w:lang w:val="es-ES"/>
        </w:rPr>
        <w:t>ONG</w:t>
      </w:r>
      <w:r w:rsidR="00B327FD">
        <w:rPr>
          <w:lang w:val="es-ES"/>
        </w:rPr>
        <w:t>s</w:t>
      </w:r>
      <w:proofErr w:type="spellEnd"/>
      <w:r w:rsidR="00FB0D2A" w:rsidRPr="00716288">
        <w:rPr>
          <w:lang w:val="es-ES"/>
        </w:rPr>
        <w:t xml:space="preserve"> y el sector privado para desarrollar sus esfuerzos de mitigación mediante la creación de capacidad, la asistencia técnica directa y el asesoramiento en estrategias de desarrollo de bajas emisiones. Creados para difundir los beneficios del Mecanismo de Desarrollo Limpio (MD</w:t>
      </w:r>
      <w:r w:rsidR="00716288">
        <w:rPr>
          <w:lang w:val="es-ES"/>
        </w:rPr>
        <w:t>L</w:t>
      </w:r>
      <w:r w:rsidR="00FB0D2A" w:rsidRPr="00716288">
        <w:rPr>
          <w:lang w:val="es-ES"/>
        </w:rPr>
        <w:t xml:space="preserve">), los CCR han ampliado su papel desde la adopción del Acuerdo de París sobre el Cambio Climático en diciembre de 2015, que apoya el desarrollo y la aplicación de las contribuciones </w:t>
      </w:r>
      <w:r w:rsidR="00716288" w:rsidRPr="00716288">
        <w:rPr>
          <w:lang w:val="es-ES"/>
        </w:rPr>
        <w:t xml:space="preserve">nacionalmente </w:t>
      </w:r>
      <w:r w:rsidR="00FB0D2A" w:rsidRPr="00716288">
        <w:rPr>
          <w:lang w:val="es-ES"/>
        </w:rPr>
        <w:t xml:space="preserve">determinadas de los países a la acción climática en virtud de ese acuerdo, centrándose en los mercados y mecanismos. </w:t>
      </w:r>
    </w:p>
    <w:p w14:paraId="7FD98B3F" w14:textId="6C311E73" w:rsidR="000D2C9F" w:rsidRPr="00F303B8" w:rsidRDefault="000D0992" w:rsidP="001D012C">
      <w:pPr>
        <w:autoSpaceDE w:val="0"/>
        <w:autoSpaceDN w:val="0"/>
        <w:adjustRightInd w:val="0"/>
        <w:spacing w:line="276" w:lineRule="auto"/>
        <w:jc w:val="both"/>
        <w:rPr>
          <w:rFonts w:cs="Arial"/>
          <w:lang w:val="es-ES_tradnl"/>
        </w:rPr>
      </w:pPr>
      <w:r w:rsidRPr="00716288">
        <w:rPr>
          <w:lang w:val="es-ES"/>
        </w:rPr>
        <w:t>El RCC St</w:t>
      </w:r>
      <w:r w:rsidR="00716288">
        <w:rPr>
          <w:lang w:val="es-ES"/>
        </w:rPr>
        <w:t xml:space="preserve">. </w:t>
      </w:r>
      <w:proofErr w:type="spellStart"/>
      <w:r w:rsidRPr="00716288">
        <w:rPr>
          <w:lang w:val="es-ES"/>
        </w:rPr>
        <w:t>George's</w:t>
      </w:r>
      <w:proofErr w:type="spellEnd"/>
      <w:r w:rsidR="00FB0D2A" w:rsidRPr="00716288">
        <w:rPr>
          <w:lang w:val="es-ES"/>
        </w:rPr>
        <w:t xml:space="preserve"> busca </w:t>
      </w:r>
      <w:r w:rsidR="00686CA7" w:rsidRPr="00716288">
        <w:rPr>
          <w:lang w:val="es-ES"/>
        </w:rPr>
        <w:t>conjuntamente contratar</w:t>
      </w:r>
      <w:r w:rsidRPr="00716288">
        <w:rPr>
          <w:lang w:val="es-ES"/>
        </w:rPr>
        <w:t xml:space="preserve"> a un consultor para llevar a cabo actividades relacionadas con el</w:t>
      </w:r>
      <w:r w:rsidR="00FB0D2A" w:rsidRPr="00716288">
        <w:rPr>
          <w:lang w:val="es-ES"/>
        </w:rPr>
        <w:t xml:space="preserve"> Proyecto</w:t>
      </w:r>
      <w:r w:rsidRPr="00716288">
        <w:rPr>
          <w:lang w:val="es-ES"/>
        </w:rPr>
        <w:t xml:space="preserve"> de Financiamiento Basado en </w:t>
      </w:r>
      <w:r w:rsidR="00FB0D2A" w:rsidRPr="00716288">
        <w:rPr>
          <w:lang w:val="es-ES"/>
        </w:rPr>
        <w:t>Necesidades</w:t>
      </w:r>
      <w:r w:rsidR="00255545" w:rsidRPr="00716288">
        <w:rPr>
          <w:lang w:val="es-ES"/>
        </w:rPr>
        <w:t xml:space="preserve"> (NBF</w:t>
      </w:r>
      <w:r w:rsidR="00B327FD">
        <w:rPr>
          <w:lang w:val="es-ES"/>
        </w:rPr>
        <w:t xml:space="preserve"> en ingl</w:t>
      </w:r>
      <w:r w:rsidR="00B327FD" w:rsidRPr="00B327FD">
        <w:rPr>
          <w:lang w:val="es-ES"/>
        </w:rPr>
        <w:t>é</w:t>
      </w:r>
      <w:r w:rsidR="00B327FD">
        <w:rPr>
          <w:lang w:val="es-ES"/>
        </w:rPr>
        <w:t>s</w:t>
      </w:r>
      <w:r w:rsidR="00255545" w:rsidRPr="00716288">
        <w:rPr>
          <w:lang w:val="es-ES"/>
        </w:rPr>
        <w:t>)</w:t>
      </w:r>
      <w:r w:rsidRPr="00716288">
        <w:rPr>
          <w:lang w:val="es-ES"/>
        </w:rPr>
        <w:t xml:space="preserve"> de la</w:t>
      </w:r>
      <w:r w:rsidR="00255545" w:rsidRPr="00716288">
        <w:rPr>
          <w:lang w:val="es-ES"/>
        </w:rPr>
        <w:t xml:space="preserve"> CMNUCC </w:t>
      </w:r>
      <w:r w:rsidRPr="00716288">
        <w:rPr>
          <w:lang w:val="es-ES"/>
        </w:rPr>
        <w:t>para apoyar</w:t>
      </w:r>
      <w:r w:rsidR="00255545" w:rsidRPr="00716288">
        <w:rPr>
          <w:lang w:val="es-ES"/>
        </w:rPr>
        <w:t xml:space="preserve"> a la República Dominicana </w:t>
      </w:r>
      <w:r w:rsidRPr="00716288">
        <w:rPr>
          <w:lang w:val="es-ES"/>
        </w:rPr>
        <w:t xml:space="preserve">representada </w:t>
      </w:r>
      <w:r w:rsidR="002149F0" w:rsidRPr="00716288">
        <w:rPr>
          <w:lang w:val="es-ES"/>
        </w:rPr>
        <w:t>por</w:t>
      </w:r>
      <w:r w:rsidRPr="00716288">
        <w:rPr>
          <w:lang w:val="es-ES"/>
        </w:rPr>
        <w:t xml:space="preserve"> el</w:t>
      </w:r>
      <w:r w:rsidR="00255545" w:rsidRPr="00716288">
        <w:rPr>
          <w:lang w:val="es-ES"/>
        </w:rPr>
        <w:t xml:space="preserve"> Consejo Nacional para el Cambio </w:t>
      </w:r>
      <w:r w:rsidR="00716288" w:rsidRPr="00716288">
        <w:rPr>
          <w:lang w:val="es-ES"/>
        </w:rPr>
        <w:t>C</w:t>
      </w:r>
      <w:r w:rsidR="00716288">
        <w:rPr>
          <w:lang w:val="es-ES"/>
        </w:rPr>
        <w:t xml:space="preserve">limático </w:t>
      </w:r>
      <w:r w:rsidR="00255545" w:rsidRPr="00716288">
        <w:rPr>
          <w:lang w:val="es-ES"/>
        </w:rPr>
        <w:t xml:space="preserve">  </w:t>
      </w:r>
      <w:proofErr w:type="gramStart"/>
      <w:r w:rsidR="00255545" w:rsidRPr="00716288">
        <w:rPr>
          <w:lang w:val="es-ES"/>
        </w:rPr>
        <w:t>y  Mecanismo</w:t>
      </w:r>
      <w:proofErr w:type="gramEnd"/>
      <w:r w:rsidR="00255545" w:rsidRPr="00716288">
        <w:rPr>
          <w:lang w:val="es-ES"/>
        </w:rPr>
        <w:t xml:space="preserve"> de Desarrollo  Limpio</w:t>
      </w:r>
      <w:r w:rsidR="00716288">
        <w:rPr>
          <w:lang w:val="es-ES"/>
        </w:rPr>
        <w:t xml:space="preserve"> (CNCCMDL). </w:t>
      </w:r>
    </w:p>
    <w:p w14:paraId="57BFEAB1" w14:textId="77777777" w:rsidR="000D2C9F" w:rsidRPr="00F303B8" w:rsidRDefault="000D2C9F" w:rsidP="000D0992">
      <w:pPr>
        <w:jc w:val="both"/>
        <w:rPr>
          <w:b/>
          <w:caps/>
          <w:u w:val="single"/>
          <w:lang w:val="es-ES_tradnl"/>
        </w:rPr>
      </w:pPr>
      <w:r w:rsidRPr="00716288">
        <w:rPr>
          <w:b/>
          <w:caps/>
          <w:u w:val="single"/>
          <w:lang w:val="es-ES"/>
        </w:rPr>
        <w:t>Fondo</w:t>
      </w:r>
    </w:p>
    <w:p w14:paraId="789B7D69" w14:textId="09EE48A0" w:rsidR="00686CA7" w:rsidRPr="00686CA7" w:rsidRDefault="00C52198" w:rsidP="00686CA7">
      <w:pPr>
        <w:jc w:val="both"/>
        <w:rPr>
          <w:lang w:val="es-ES_tradnl"/>
        </w:rPr>
      </w:pPr>
      <w:r w:rsidRPr="00716288">
        <w:rPr>
          <w:lang w:val="es-ES"/>
        </w:rPr>
        <w:t>El Proyecto de Financiación del Clima basado en las necesidades se estableció en respuesta a la decisión de la Conferencia de las Partes en su vigésimo tercer período de sesiones (COP 23) en la que se solicitaba a la secretaría de la CMNUCC que ayudara a las Partes que son países en desarrollo a evaluar sus necesidades y prioridades de manera basada en los países, y a traducir las necesidades de financiación climática en acciones (6/CP.23, párrafo 10). Además, la Conferencia de las Partes reunida según las Partes en el Protocolo de K</w:t>
      </w:r>
      <w:r w:rsidR="00716288">
        <w:rPr>
          <w:lang w:val="es-ES"/>
        </w:rPr>
        <w:t>i</w:t>
      </w:r>
      <w:r w:rsidRPr="00716288">
        <w:rPr>
          <w:lang w:val="es-ES"/>
        </w:rPr>
        <w:t xml:space="preserve">oto pidió a la </w:t>
      </w:r>
      <w:r w:rsidR="00716288">
        <w:rPr>
          <w:lang w:val="es-ES"/>
        </w:rPr>
        <w:t>S</w:t>
      </w:r>
      <w:r w:rsidRPr="00716288">
        <w:rPr>
          <w:lang w:val="es-ES"/>
        </w:rPr>
        <w:t xml:space="preserve">ecretaría de la CMNUCC que apoyara la financiación de proyectos de </w:t>
      </w:r>
      <w:r w:rsidR="00FF5242" w:rsidRPr="00716288">
        <w:rPr>
          <w:lang w:val="es-ES"/>
        </w:rPr>
        <w:t xml:space="preserve">mitigación </w:t>
      </w:r>
      <w:r w:rsidRPr="00716288">
        <w:rPr>
          <w:lang w:val="es-ES"/>
        </w:rPr>
        <w:t>del clima (3/CMP.1, 6/CMP.11 y 12/CMA.1)</w:t>
      </w:r>
      <w:r w:rsidR="00FF5242" w:rsidRPr="00716288">
        <w:rPr>
          <w:lang w:val="es-ES"/>
        </w:rPr>
        <w:t xml:space="preserve"> que </w:t>
      </w:r>
      <w:r w:rsidR="00EC70AE" w:rsidRPr="00716288">
        <w:rPr>
          <w:lang w:val="es-ES"/>
        </w:rPr>
        <w:t xml:space="preserve">podrían registrarse en el marco del </w:t>
      </w:r>
      <w:r w:rsidR="00FF5242" w:rsidRPr="00716288">
        <w:rPr>
          <w:lang w:val="es-ES"/>
        </w:rPr>
        <w:t>MDL.</w:t>
      </w:r>
      <w:r w:rsidRPr="00716288">
        <w:rPr>
          <w:lang w:val="es-ES"/>
        </w:rPr>
        <w:t xml:space="preserve"> En conjunto, estos mandatos constituyen la base para ayudar a los países en desarrollo a determinar y evaluar sus necesidades; formular estrategias regionales de financiación climática; y movilizar apoyo a estas estrategias para abordar las necesidades relacionadas con la aplicación de las contribuciones determinadas a nivel nacional, los planes nacionales de adaptación y las estrategias y </w:t>
      </w:r>
      <w:r w:rsidR="00686CA7" w:rsidRPr="00686CA7">
        <w:rPr>
          <w:lang w:val="es-ES"/>
        </w:rPr>
        <w:t>políticas climáticas nacionales.</w:t>
      </w:r>
    </w:p>
    <w:p w14:paraId="002721AE" w14:textId="77777777" w:rsidR="00F85425" w:rsidRPr="00686CA7" w:rsidRDefault="00F85425" w:rsidP="00F85425">
      <w:pPr>
        <w:jc w:val="both"/>
        <w:rPr>
          <w:lang w:val="es-ES_tradnl"/>
        </w:rPr>
      </w:pPr>
    </w:p>
    <w:p w14:paraId="7843BF7D" w14:textId="77777777" w:rsidR="00255545" w:rsidRPr="00F303B8" w:rsidRDefault="00255545" w:rsidP="00255545">
      <w:pPr>
        <w:jc w:val="both"/>
        <w:rPr>
          <w:lang w:val="es-ES_tradnl"/>
        </w:rPr>
      </w:pPr>
      <w:r w:rsidRPr="00716288">
        <w:rPr>
          <w:lang w:val="es-ES"/>
        </w:rPr>
        <w:t>.</w:t>
      </w:r>
    </w:p>
    <w:p w14:paraId="5A160FDA" w14:textId="1D413EA1" w:rsidR="00255545" w:rsidRPr="00F303B8" w:rsidRDefault="00255545" w:rsidP="00255545">
      <w:pPr>
        <w:jc w:val="both"/>
        <w:rPr>
          <w:lang w:val="es-ES_tradnl"/>
        </w:rPr>
      </w:pPr>
      <w:r w:rsidRPr="00716288">
        <w:rPr>
          <w:lang w:val="es-ES"/>
        </w:rPr>
        <w:t xml:space="preserve">República Dominicana a través de la dirección del Consejo Nacional para el </w:t>
      </w:r>
      <w:proofErr w:type="gramStart"/>
      <w:r w:rsidRPr="00716288">
        <w:rPr>
          <w:lang w:val="es-ES"/>
        </w:rPr>
        <w:t xml:space="preserve">Cambio </w:t>
      </w:r>
      <w:r w:rsidR="00716288">
        <w:rPr>
          <w:lang w:val="es-ES"/>
        </w:rPr>
        <w:t xml:space="preserve"> Climático</w:t>
      </w:r>
      <w:proofErr w:type="gramEnd"/>
      <w:r w:rsidRPr="00716288">
        <w:rPr>
          <w:lang w:val="es-ES"/>
        </w:rPr>
        <w:t xml:space="preserve"> y  Mecanismo de Desarrollo Limpio</w:t>
      </w:r>
      <w:r w:rsidR="001A19AF" w:rsidRPr="00716288">
        <w:rPr>
          <w:lang w:val="es-ES"/>
        </w:rPr>
        <w:t xml:space="preserve"> (CNCCMDL) </w:t>
      </w:r>
      <w:r w:rsidR="0057716E" w:rsidRPr="00716288">
        <w:rPr>
          <w:lang w:val="es-ES"/>
        </w:rPr>
        <w:t xml:space="preserve">y otros organismos asociados </w:t>
      </w:r>
      <w:r w:rsidRPr="00716288">
        <w:rPr>
          <w:lang w:val="es-ES"/>
        </w:rPr>
        <w:t xml:space="preserve"> ha  </w:t>
      </w:r>
      <w:r w:rsidR="00700986" w:rsidRPr="00716288">
        <w:rPr>
          <w:lang w:val="es-ES"/>
        </w:rPr>
        <w:t xml:space="preserve">desarrollado </w:t>
      </w:r>
      <w:r w:rsidRPr="00716288">
        <w:rPr>
          <w:lang w:val="es-ES"/>
        </w:rPr>
        <w:t xml:space="preserve">un plan de </w:t>
      </w:r>
      <w:r w:rsidR="00250977" w:rsidRPr="00716288">
        <w:rPr>
          <w:lang w:val="es-ES"/>
        </w:rPr>
        <w:lastRenderedPageBreak/>
        <w:t>acción para</w:t>
      </w:r>
      <w:r w:rsidRPr="00716288">
        <w:rPr>
          <w:lang w:val="es-ES"/>
        </w:rPr>
        <w:t xml:space="preserve"> la implementación de la </w:t>
      </w:r>
      <w:r w:rsidR="00716288" w:rsidRPr="00716288">
        <w:rPr>
          <w:lang w:val="es-ES"/>
        </w:rPr>
        <w:t>Contribución</w:t>
      </w:r>
      <w:r w:rsidRPr="00716288">
        <w:rPr>
          <w:lang w:val="es-ES"/>
        </w:rPr>
        <w:t xml:space="preserve"> Nacionalmente Determinada de la República Dominicana.   </w:t>
      </w:r>
      <w:r w:rsidR="00250977" w:rsidRPr="00716288">
        <w:rPr>
          <w:lang w:val="es-ES"/>
        </w:rPr>
        <w:t xml:space="preserve">En colaboración con los miembros de la Alianza NDC, </w:t>
      </w:r>
      <w:r w:rsidRPr="00716288">
        <w:rPr>
          <w:lang w:val="es-ES"/>
        </w:rPr>
        <w:t xml:space="preserve">el </w:t>
      </w:r>
      <w:proofErr w:type="gramStart"/>
      <w:r w:rsidR="00250977" w:rsidRPr="00716288">
        <w:rPr>
          <w:lang w:val="es-ES"/>
        </w:rPr>
        <w:t>C</w:t>
      </w:r>
      <w:r w:rsidR="0006362A">
        <w:rPr>
          <w:lang w:val="es-ES"/>
        </w:rPr>
        <w:t xml:space="preserve">NCCMDL </w:t>
      </w:r>
      <w:r w:rsidRPr="00716288">
        <w:rPr>
          <w:lang w:val="es-ES"/>
        </w:rPr>
        <w:t xml:space="preserve"> está</w:t>
      </w:r>
      <w:proofErr w:type="gramEnd"/>
      <w:r w:rsidR="001E22C2" w:rsidRPr="00716288">
        <w:rPr>
          <w:lang w:val="es-ES"/>
        </w:rPr>
        <w:t xml:space="preserve"> desarrollando una</w:t>
      </w:r>
      <w:r w:rsidRPr="00716288">
        <w:rPr>
          <w:lang w:val="es-ES"/>
        </w:rPr>
        <w:t xml:space="preserve"> estrategia </w:t>
      </w:r>
      <w:r w:rsidR="0006362A" w:rsidRPr="00716288">
        <w:rPr>
          <w:lang w:val="es-ES"/>
        </w:rPr>
        <w:t xml:space="preserve">nacional </w:t>
      </w:r>
      <w:r w:rsidR="0006362A">
        <w:rPr>
          <w:lang w:val="es-ES"/>
        </w:rPr>
        <w:t xml:space="preserve"> </w:t>
      </w:r>
      <w:r w:rsidR="0006362A" w:rsidRPr="00716288">
        <w:rPr>
          <w:lang w:val="es-ES"/>
        </w:rPr>
        <w:t>de financiación</w:t>
      </w:r>
      <w:r w:rsidR="0006362A">
        <w:rPr>
          <w:lang w:val="es-ES"/>
        </w:rPr>
        <w:t xml:space="preserve"> para la </w:t>
      </w:r>
      <w:r w:rsidRPr="00716288">
        <w:rPr>
          <w:lang w:val="es-ES"/>
        </w:rPr>
        <w:t xml:space="preserve"> implementación de </w:t>
      </w:r>
      <w:r w:rsidR="0006362A">
        <w:rPr>
          <w:lang w:val="es-ES"/>
        </w:rPr>
        <w:t xml:space="preserve">la </w:t>
      </w:r>
      <w:r w:rsidRPr="00716288">
        <w:rPr>
          <w:lang w:val="es-ES"/>
        </w:rPr>
        <w:t xml:space="preserve">NDC </w:t>
      </w:r>
      <w:r w:rsidR="000E4C47" w:rsidRPr="00716288">
        <w:rPr>
          <w:lang w:val="es-ES"/>
        </w:rPr>
        <w:t>.</w:t>
      </w:r>
      <w:r w:rsidR="00716288">
        <w:rPr>
          <w:lang w:val="es-ES"/>
        </w:rPr>
        <w:t xml:space="preserve"> </w:t>
      </w:r>
      <w:r w:rsidR="001E22C2" w:rsidRPr="00716288">
        <w:rPr>
          <w:lang w:val="es-ES"/>
        </w:rPr>
        <w:t>Esto abarcará</w:t>
      </w:r>
      <w:r w:rsidR="00716288">
        <w:rPr>
          <w:lang w:val="es-ES"/>
        </w:rPr>
        <w:t xml:space="preserve"> </w:t>
      </w:r>
      <w:r w:rsidRPr="00716288">
        <w:rPr>
          <w:lang w:val="es-ES"/>
        </w:rPr>
        <w:t>acuerdos de organización para dar prioridad a las actividades de aplicación de</w:t>
      </w:r>
      <w:r w:rsidR="00716288">
        <w:rPr>
          <w:lang w:val="es-ES"/>
        </w:rPr>
        <w:t xml:space="preserve"> </w:t>
      </w:r>
      <w:r w:rsidR="000E4C47" w:rsidRPr="00716288">
        <w:rPr>
          <w:lang w:val="es-ES"/>
        </w:rPr>
        <w:t xml:space="preserve">la NDC para 2020-2025, desarrollar y poner en práctica instrumentos de financiación específicos </w:t>
      </w:r>
      <w:r w:rsidR="002E2BB9" w:rsidRPr="00B327FD">
        <w:rPr>
          <w:lang w:val="es-ES"/>
        </w:rPr>
        <w:t>(y/o nuevos),</w:t>
      </w:r>
      <w:r w:rsidR="000E4C47" w:rsidRPr="00716288">
        <w:rPr>
          <w:lang w:val="es-ES"/>
        </w:rPr>
        <w:t xml:space="preserve"> la perspectiva del sector privado y un sólido indicador, metas e hitos clave</w:t>
      </w:r>
      <w:r w:rsidRPr="00716288">
        <w:rPr>
          <w:lang w:val="es-ES"/>
        </w:rPr>
        <w:t xml:space="preserve"> de rendimiento.</w:t>
      </w:r>
    </w:p>
    <w:p w14:paraId="1B6B0693" w14:textId="241C1012" w:rsidR="00255545" w:rsidRPr="00F303B8" w:rsidRDefault="00250977" w:rsidP="00255545">
      <w:pPr>
        <w:jc w:val="both"/>
        <w:rPr>
          <w:lang w:val="es-ES_tradnl"/>
        </w:rPr>
      </w:pPr>
      <w:r w:rsidRPr="00716288">
        <w:rPr>
          <w:lang w:val="es-ES"/>
        </w:rPr>
        <w:t>En República</w:t>
      </w:r>
      <w:r w:rsidR="00716288">
        <w:rPr>
          <w:lang w:val="es-ES"/>
        </w:rPr>
        <w:t xml:space="preserve"> </w:t>
      </w:r>
      <w:r w:rsidR="00255545" w:rsidRPr="00716288">
        <w:rPr>
          <w:lang w:val="es-ES"/>
        </w:rPr>
        <w:t>Dominicana, el Proyecto de Financiación Basad</w:t>
      </w:r>
      <w:r w:rsidR="0006362A">
        <w:rPr>
          <w:lang w:val="es-ES"/>
        </w:rPr>
        <w:t>o</w:t>
      </w:r>
      <w:r w:rsidR="00255545" w:rsidRPr="00716288">
        <w:rPr>
          <w:lang w:val="es-ES"/>
        </w:rPr>
        <w:t xml:space="preserve"> en </w:t>
      </w:r>
      <w:r w:rsidR="0006362A">
        <w:rPr>
          <w:lang w:val="es-ES"/>
        </w:rPr>
        <w:t>N</w:t>
      </w:r>
      <w:r w:rsidR="00255545" w:rsidRPr="00716288">
        <w:rPr>
          <w:lang w:val="es-ES"/>
        </w:rPr>
        <w:t xml:space="preserve">ecesidades (NBF) </w:t>
      </w:r>
      <w:r w:rsidRPr="00716288">
        <w:rPr>
          <w:lang w:val="es-ES"/>
        </w:rPr>
        <w:t xml:space="preserve">se </w:t>
      </w:r>
      <w:r w:rsidR="00686CA7" w:rsidRPr="00716288">
        <w:rPr>
          <w:lang w:val="es-ES"/>
        </w:rPr>
        <w:t>ejecutará en</w:t>
      </w:r>
      <w:r w:rsidR="00255545" w:rsidRPr="00716288">
        <w:rPr>
          <w:lang w:val="es-ES"/>
        </w:rPr>
        <w:t xml:space="preserve"> colaboración </w:t>
      </w:r>
      <w:r w:rsidR="00686CA7" w:rsidRPr="00716288">
        <w:rPr>
          <w:lang w:val="es-ES"/>
        </w:rPr>
        <w:t xml:space="preserve">con </w:t>
      </w:r>
      <w:r w:rsidR="00716288">
        <w:rPr>
          <w:lang w:val="es-ES"/>
        </w:rPr>
        <w:t xml:space="preserve">el </w:t>
      </w:r>
      <w:r w:rsidR="00686CA7" w:rsidRPr="00716288">
        <w:rPr>
          <w:lang w:val="es-ES"/>
        </w:rPr>
        <w:t>CNCCMDL</w:t>
      </w:r>
      <w:r w:rsidRPr="00716288">
        <w:rPr>
          <w:lang w:val="es-ES"/>
        </w:rPr>
        <w:t xml:space="preserve"> como centro de</w:t>
      </w:r>
      <w:r w:rsidR="00255545" w:rsidRPr="00716288">
        <w:rPr>
          <w:lang w:val="es-ES"/>
        </w:rPr>
        <w:t xml:space="preserve"> coordinación nacional para el cambio climático.</w:t>
      </w:r>
      <w:r w:rsidR="0006362A">
        <w:rPr>
          <w:lang w:val="es-ES"/>
        </w:rPr>
        <w:t xml:space="preserve"> </w:t>
      </w:r>
      <w:r w:rsidR="00255545" w:rsidRPr="00716288">
        <w:rPr>
          <w:lang w:val="es-ES"/>
        </w:rPr>
        <w:t xml:space="preserve">El objetivo principal del Proyecto NBF </w:t>
      </w:r>
      <w:r w:rsidR="00686CA7" w:rsidRPr="00716288">
        <w:rPr>
          <w:lang w:val="es-ES"/>
        </w:rPr>
        <w:t>en República</w:t>
      </w:r>
      <w:r w:rsidR="00BD5653" w:rsidRPr="00716288">
        <w:rPr>
          <w:lang w:val="es-ES"/>
        </w:rPr>
        <w:t xml:space="preserve"> Dominicana</w:t>
      </w:r>
      <w:r w:rsidRPr="00716288">
        <w:rPr>
          <w:lang w:val="es-ES"/>
        </w:rPr>
        <w:t xml:space="preserve"> es facilitar la movilización de financiamiento climático para apoyar las</w:t>
      </w:r>
      <w:r w:rsidR="00255545" w:rsidRPr="00716288">
        <w:rPr>
          <w:lang w:val="es-ES"/>
        </w:rPr>
        <w:t xml:space="preserve"> necesidades identificadas </w:t>
      </w:r>
      <w:r w:rsidRPr="00716288">
        <w:rPr>
          <w:lang w:val="es-ES"/>
        </w:rPr>
        <w:t xml:space="preserve">por el </w:t>
      </w:r>
      <w:r w:rsidR="0002158E">
        <w:rPr>
          <w:lang w:val="es-ES"/>
        </w:rPr>
        <w:t>P</w:t>
      </w:r>
      <w:r w:rsidRPr="00716288">
        <w:rPr>
          <w:lang w:val="es-ES"/>
        </w:rPr>
        <w:t xml:space="preserve">lan </w:t>
      </w:r>
      <w:r w:rsidR="0002158E">
        <w:rPr>
          <w:lang w:val="es-ES"/>
        </w:rPr>
        <w:t>N</w:t>
      </w:r>
      <w:r w:rsidRPr="00716288">
        <w:rPr>
          <w:lang w:val="es-ES"/>
        </w:rPr>
        <w:t xml:space="preserve">acional de </w:t>
      </w:r>
      <w:r w:rsidR="0002158E">
        <w:rPr>
          <w:lang w:val="es-ES"/>
        </w:rPr>
        <w:t>I</w:t>
      </w:r>
      <w:r w:rsidRPr="00716288">
        <w:rPr>
          <w:lang w:val="es-ES"/>
        </w:rPr>
        <w:t xml:space="preserve">mplementación de </w:t>
      </w:r>
      <w:r w:rsidR="001E22C2" w:rsidRPr="00716288">
        <w:rPr>
          <w:lang w:val="es-ES"/>
        </w:rPr>
        <w:t>la NDC, con respecto a</w:t>
      </w:r>
      <w:r w:rsidRPr="00716288">
        <w:rPr>
          <w:lang w:val="es-ES"/>
        </w:rPr>
        <w:t xml:space="preserve"> la implementación de acciones de mitigación prioritarias de conformidad con el Acuerdo de París y los objetivos del país</w:t>
      </w:r>
      <w:r w:rsidR="00255545" w:rsidRPr="00716288">
        <w:rPr>
          <w:lang w:val="es-ES"/>
        </w:rPr>
        <w:t xml:space="preserve"> establecidos en la Contribución </w:t>
      </w:r>
      <w:r w:rsidR="0002158E" w:rsidRPr="00716288">
        <w:rPr>
          <w:lang w:val="es-ES"/>
        </w:rPr>
        <w:t xml:space="preserve">Nacionalmente </w:t>
      </w:r>
      <w:r w:rsidR="00255545" w:rsidRPr="00716288">
        <w:rPr>
          <w:lang w:val="es-ES"/>
        </w:rPr>
        <w:t>Determinada, así como otras estrategias e instrumentos nacionales</w:t>
      </w:r>
      <w:r w:rsidRPr="00716288">
        <w:rPr>
          <w:lang w:val="es-ES"/>
        </w:rPr>
        <w:t xml:space="preserve"> de desarrollo.</w:t>
      </w:r>
    </w:p>
    <w:p w14:paraId="73E7E9D9" w14:textId="77777777" w:rsidR="00710BF4" w:rsidRPr="00F303B8" w:rsidRDefault="00421E0A" w:rsidP="00710BF4">
      <w:pPr>
        <w:jc w:val="both"/>
        <w:rPr>
          <w:b/>
          <w:lang w:val="es-ES_tradnl"/>
        </w:rPr>
      </w:pPr>
      <w:r w:rsidRPr="008941E0">
        <w:rPr>
          <w:b/>
          <w:caps/>
          <w:u w:val="single"/>
          <w:lang w:val="es-ES"/>
        </w:rPr>
        <w:t>Finalidad de la asignación</w:t>
      </w:r>
    </w:p>
    <w:p w14:paraId="23032FBB" w14:textId="63A14466" w:rsidR="00710BF4" w:rsidRPr="00F303B8" w:rsidRDefault="00421E0A" w:rsidP="00710BF4">
      <w:pPr>
        <w:jc w:val="both"/>
        <w:rPr>
          <w:lang w:val="es-ES_tradnl"/>
        </w:rPr>
      </w:pPr>
      <w:r w:rsidRPr="008941E0">
        <w:rPr>
          <w:lang w:val="es-ES"/>
        </w:rPr>
        <w:t>El Centro de Colaboración Regional de St</w:t>
      </w:r>
      <w:r w:rsidR="0002158E">
        <w:rPr>
          <w:lang w:val="es-ES"/>
        </w:rPr>
        <w:t>.</w:t>
      </w:r>
      <w:r w:rsidRPr="008941E0">
        <w:rPr>
          <w:lang w:val="es-ES"/>
        </w:rPr>
        <w:t xml:space="preserve"> George, representado por su socio anfitrión WINDREF, busca contratar a un consultor para entregar los </w:t>
      </w:r>
      <w:r w:rsidR="00B327FD">
        <w:rPr>
          <w:lang w:val="es-ES"/>
        </w:rPr>
        <w:t xml:space="preserve">siguientes </w:t>
      </w:r>
      <w:r w:rsidRPr="008941E0">
        <w:rPr>
          <w:lang w:val="es-ES"/>
        </w:rPr>
        <w:t xml:space="preserve">5 </w:t>
      </w:r>
      <w:proofErr w:type="gramStart"/>
      <w:r w:rsidRPr="008941E0">
        <w:rPr>
          <w:lang w:val="es-ES"/>
        </w:rPr>
        <w:t>productos  en</w:t>
      </w:r>
      <w:proofErr w:type="gramEnd"/>
      <w:r w:rsidRPr="008941E0">
        <w:rPr>
          <w:lang w:val="es-ES"/>
        </w:rPr>
        <w:t xml:space="preserve"> estrecha coordinación con la CMNUCC y  </w:t>
      </w:r>
      <w:r w:rsidR="0002158E">
        <w:rPr>
          <w:lang w:val="es-ES"/>
        </w:rPr>
        <w:t xml:space="preserve">el </w:t>
      </w:r>
      <w:r w:rsidRPr="008941E0">
        <w:rPr>
          <w:lang w:val="es-ES"/>
        </w:rPr>
        <w:t>CNCCMDL.</w:t>
      </w:r>
    </w:p>
    <w:p w14:paraId="4C4AE330" w14:textId="77777777" w:rsidR="00255545" w:rsidRPr="00F303B8" w:rsidRDefault="00421E0A" w:rsidP="00255545">
      <w:pPr>
        <w:jc w:val="both"/>
        <w:rPr>
          <w:lang w:val="es-ES_tradnl"/>
        </w:rPr>
      </w:pPr>
      <w:r w:rsidRPr="008941E0">
        <w:rPr>
          <w:lang w:val="es-ES"/>
        </w:rPr>
        <w:t>El consultor deberá proporcionar los siguientes productos, incluidos todos los informes</w:t>
      </w:r>
      <w:r w:rsidR="0002158E">
        <w:rPr>
          <w:lang w:val="es-ES"/>
        </w:rPr>
        <w:t xml:space="preserve"> </w:t>
      </w:r>
      <w:r w:rsidRPr="008941E0">
        <w:rPr>
          <w:lang w:val="es-ES"/>
        </w:rPr>
        <w:t>en inglés</w:t>
      </w:r>
      <w:r w:rsidR="0002158E">
        <w:rPr>
          <w:lang w:val="es-ES"/>
        </w:rPr>
        <w:t xml:space="preserve"> </w:t>
      </w:r>
      <w:r w:rsidRPr="008941E0">
        <w:rPr>
          <w:lang w:val="es-ES"/>
        </w:rPr>
        <w:t>y español (según sea necesario):</w:t>
      </w:r>
    </w:p>
    <w:p w14:paraId="6FFA8280" w14:textId="3CC9F04B" w:rsidR="00686CA7" w:rsidRPr="00686CA7" w:rsidRDefault="00686CA7" w:rsidP="00686CA7">
      <w:pPr>
        <w:pStyle w:val="ListParagraph"/>
        <w:numPr>
          <w:ilvl w:val="0"/>
          <w:numId w:val="11"/>
        </w:numPr>
        <w:jc w:val="both"/>
        <w:rPr>
          <w:lang w:val="es-ES_tradnl"/>
        </w:rPr>
      </w:pPr>
      <w:r w:rsidRPr="00686CA7">
        <w:rPr>
          <w:lang w:val="es-ES"/>
        </w:rPr>
        <w:t xml:space="preserve">Una evaluación de diagnóstico de los flujos de financiamiento climático (nacional, internacional), </w:t>
      </w:r>
      <w:r w:rsidR="0002158E">
        <w:rPr>
          <w:lang w:val="es-ES"/>
        </w:rPr>
        <w:t xml:space="preserve">en </w:t>
      </w:r>
      <w:r w:rsidRPr="00686CA7">
        <w:rPr>
          <w:lang w:val="es-ES"/>
        </w:rPr>
        <w:t>existencia y necesidades para República Dominicana;</w:t>
      </w:r>
    </w:p>
    <w:p w14:paraId="786D4F13" w14:textId="690E909B" w:rsidR="00811E7E" w:rsidRPr="00F303B8" w:rsidRDefault="00421E0A" w:rsidP="006D0A80">
      <w:pPr>
        <w:pStyle w:val="ListParagraph"/>
        <w:numPr>
          <w:ilvl w:val="0"/>
          <w:numId w:val="11"/>
        </w:numPr>
        <w:jc w:val="both"/>
        <w:rPr>
          <w:lang w:val="es-ES_tradnl"/>
        </w:rPr>
      </w:pPr>
      <w:r w:rsidRPr="008941E0">
        <w:rPr>
          <w:lang w:val="es-ES"/>
        </w:rPr>
        <w:t>Un análisis del entorno que permita la inversión nacional y la capacidad del mercado financiero para</w:t>
      </w:r>
      <w:r w:rsidR="0032327E">
        <w:rPr>
          <w:lang w:val="es-ES"/>
        </w:rPr>
        <w:t xml:space="preserve"> </w:t>
      </w:r>
      <w:r w:rsidRPr="008941E0">
        <w:rPr>
          <w:lang w:val="es-ES"/>
        </w:rPr>
        <w:t>financiar</w:t>
      </w:r>
      <w:r w:rsidR="0032327E">
        <w:rPr>
          <w:lang w:val="es-ES"/>
        </w:rPr>
        <w:t xml:space="preserve"> </w:t>
      </w:r>
      <w:r w:rsidRPr="008941E0">
        <w:rPr>
          <w:lang w:val="es-ES"/>
        </w:rPr>
        <w:t xml:space="preserve">la aplicación de </w:t>
      </w:r>
      <w:proofErr w:type="spellStart"/>
      <w:proofErr w:type="gramStart"/>
      <w:r w:rsidRPr="008941E0">
        <w:rPr>
          <w:lang w:val="es-ES"/>
        </w:rPr>
        <w:t>l</w:t>
      </w:r>
      <w:r w:rsidR="00B327FD">
        <w:rPr>
          <w:lang w:val="es-ES"/>
        </w:rPr>
        <w:t>s</w:t>
      </w:r>
      <w:r w:rsidRPr="008941E0">
        <w:rPr>
          <w:lang w:val="es-ES"/>
        </w:rPr>
        <w:t>s</w:t>
      </w:r>
      <w:proofErr w:type="spellEnd"/>
      <w:r w:rsidRPr="008941E0">
        <w:rPr>
          <w:lang w:val="es-ES"/>
        </w:rPr>
        <w:t xml:space="preserve"> </w:t>
      </w:r>
      <w:r w:rsidR="00B327FD">
        <w:rPr>
          <w:lang w:val="es-ES"/>
        </w:rPr>
        <w:t xml:space="preserve"> NDC</w:t>
      </w:r>
      <w:proofErr w:type="gramEnd"/>
      <w:r w:rsidRPr="008941E0">
        <w:rPr>
          <w:lang w:val="es-ES"/>
        </w:rPr>
        <w:t xml:space="preserve"> y o las prioridades nacionales</w:t>
      </w:r>
      <w:r w:rsidR="0032327E">
        <w:rPr>
          <w:lang w:val="es-ES"/>
        </w:rPr>
        <w:t xml:space="preserve"> </w:t>
      </w:r>
      <w:r w:rsidRPr="008941E0">
        <w:rPr>
          <w:lang w:val="es-ES"/>
        </w:rPr>
        <w:t>en materia de cambio</w:t>
      </w:r>
      <w:r w:rsidR="00B327FD">
        <w:rPr>
          <w:lang w:val="es-ES"/>
        </w:rPr>
        <w:t xml:space="preserve"> </w:t>
      </w:r>
      <w:r w:rsidRPr="008941E0">
        <w:rPr>
          <w:lang w:val="es-ES"/>
        </w:rPr>
        <w:t>climático;</w:t>
      </w:r>
    </w:p>
    <w:p w14:paraId="147F7F5F" w14:textId="77777777" w:rsidR="00686CA7" w:rsidRPr="00686CA7" w:rsidRDefault="00421E0A" w:rsidP="006D0A80">
      <w:pPr>
        <w:pStyle w:val="ListParagraph"/>
        <w:numPr>
          <w:ilvl w:val="0"/>
          <w:numId w:val="11"/>
        </w:numPr>
        <w:jc w:val="both"/>
        <w:rPr>
          <w:lang w:val="es-ES_tradnl"/>
        </w:rPr>
      </w:pPr>
      <w:r w:rsidRPr="008941E0">
        <w:rPr>
          <w:lang w:val="es-ES"/>
        </w:rPr>
        <w:t xml:space="preserve">Una identificación de una cartera de inversiones y proyectos prioritarios (incluidos los proyectos </w:t>
      </w:r>
      <w:r w:rsidR="0032327E">
        <w:rPr>
          <w:lang w:val="es-ES"/>
        </w:rPr>
        <w:t xml:space="preserve">del </w:t>
      </w:r>
      <w:r w:rsidRPr="008941E0">
        <w:rPr>
          <w:lang w:val="es-ES"/>
        </w:rPr>
        <w:t>MDL nuevos y existentes) y la elaboración de las necesidades y fondos necesarios para implementar estas inversiones y proyectos prioritarios;</w:t>
      </w:r>
    </w:p>
    <w:p w14:paraId="7A460F8A" w14:textId="6ECE8ACF" w:rsidR="00811E7E" w:rsidRPr="00F303B8" w:rsidRDefault="00421E0A" w:rsidP="006D0A80">
      <w:pPr>
        <w:pStyle w:val="ListParagraph"/>
        <w:numPr>
          <w:ilvl w:val="0"/>
          <w:numId w:val="11"/>
        </w:numPr>
        <w:jc w:val="both"/>
        <w:rPr>
          <w:lang w:val="es-ES_tradnl"/>
        </w:rPr>
      </w:pPr>
      <w:r w:rsidRPr="008941E0">
        <w:rPr>
          <w:lang w:val="es-ES"/>
        </w:rPr>
        <w:t>Un esquema de la</w:t>
      </w:r>
      <w:r w:rsidR="0032327E">
        <w:rPr>
          <w:lang w:val="es-ES"/>
        </w:rPr>
        <w:t xml:space="preserve"> </w:t>
      </w:r>
      <w:r w:rsidRPr="008941E0">
        <w:rPr>
          <w:lang w:val="es-ES"/>
        </w:rPr>
        <w:t>estrategia de acceso y movilización</w:t>
      </w:r>
      <w:r w:rsidR="0032327E">
        <w:rPr>
          <w:lang w:val="es-ES"/>
        </w:rPr>
        <w:t xml:space="preserve"> </w:t>
      </w:r>
      <w:r w:rsidRPr="008941E0">
        <w:rPr>
          <w:lang w:val="es-ES"/>
        </w:rPr>
        <w:t xml:space="preserve">de financiación climática </w:t>
      </w:r>
      <w:r w:rsidR="0032327E">
        <w:rPr>
          <w:lang w:val="es-ES"/>
        </w:rPr>
        <w:t>p</w:t>
      </w:r>
      <w:r w:rsidRPr="008941E0">
        <w:rPr>
          <w:lang w:val="es-ES"/>
        </w:rPr>
        <w:t xml:space="preserve">ara la implementación por </w:t>
      </w:r>
      <w:r w:rsidR="00B327FD">
        <w:rPr>
          <w:lang w:val="es-ES"/>
        </w:rPr>
        <w:t xml:space="preserve">los </w:t>
      </w:r>
      <w:r w:rsidRPr="008941E0">
        <w:rPr>
          <w:lang w:val="es-ES"/>
        </w:rPr>
        <w:t>países de la NDC sobre la base del análisis</w:t>
      </w:r>
      <w:r w:rsidR="0032327E">
        <w:rPr>
          <w:lang w:val="es-ES"/>
        </w:rPr>
        <w:t xml:space="preserve"> (Benchmarking)</w:t>
      </w:r>
      <w:r w:rsidRPr="008941E0">
        <w:rPr>
          <w:lang w:val="es-ES"/>
        </w:rPr>
        <w:t>,</w:t>
      </w:r>
      <w:r w:rsidR="0032327E">
        <w:rPr>
          <w:lang w:val="es-ES"/>
        </w:rPr>
        <w:t xml:space="preserve"> </w:t>
      </w:r>
      <w:r w:rsidRPr="008941E0">
        <w:rPr>
          <w:lang w:val="es-ES"/>
        </w:rPr>
        <w:t>según lo validado por expertos nacionales y partes interesadas clave;</w:t>
      </w:r>
      <w:r w:rsidR="00CB71B6">
        <w:rPr>
          <w:lang w:val="es-ES"/>
        </w:rPr>
        <w:t xml:space="preserve"> y</w:t>
      </w:r>
    </w:p>
    <w:p w14:paraId="6CCF0B87" w14:textId="13F662D9" w:rsidR="00686CA7" w:rsidRPr="00686CA7" w:rsidRDefault="00421E0A" w:rsidP="006D0A80">
      <w:pPr>
        <w:pStyle w:val="ListParagraph"/>
        <w:numPr>
          <w:ilvl w:val="0"/>
          <w:numId w:val="11"/>
        </w:numPr>
        <w:jc w:val="both"/>
        <w:rPr>
          <w:lang w:val="es-ES_tradnl"/>
        </w:rPr>
      </w:pPr>
      <w:r w:rsidRPr="008941E0">
        <w:rPr>
          <w:lang w:val="es-ES"/>
        </w:rPr>
        <w:t>Una evaluación de los vínculos y sinergias con otras políticas, programas e iniciativas (por ejemplo, GCCA</w:t>
      </w:r>
      <w:r w:rsidR="0032327E">
        <w:rPr>
          <w:rStyle w:val="FootnoteReference"/>
          <w:lang w:val="es-ES"/>
        </w:rPr>
        <w:footnoteReference w:id="1"/>
      </w:r>
      <w:r w:rsidRPr="008941E0">
        <w:rPr>
          <w:lang w:val="es-ES"/>
        </w:rPr>
        <w:t xml:space="preserve"> +, Banco Mundial, C</w:t>
      </w:r>
      <w:r w:rsidR="0032327E">
        <w:rPr>
          <w:lang w:val="es-ES"/>
        </w:rPr>
        <w:t>i-</w:t>
      </w:r>
      <w:r w:rsidRPr="008941E0">
        <w:rPr>
          <w:lang w:val="es-ES"/>
        </w:rPr>
        <w:t>ACA</w:t>
      </w:r>
      <w:r w:rsidR="0032327E">
        <w:rPr>
          <w:rStyle w:val="FootnoteReference"/>
          <w:lang w:val="es-ES"/>
        </w:rPr>
        <w:footnoteReference w:id="2"/>
      </w:r>
      <w:r w:rsidRPr="008941E0">
        <w:rPr>
          <w:lang w:val="es-ES"/>
        </w:rPr>
        <w:t>, etc.).</w:t>
      </w:r>
    </w:p>
    <w:p w14:paraId="5DFA378C" w14:textId="77777777" w:rsidR="0057294E" w:rsidRPr="008941E0" w:rsidRDefault="00421E0A" w:rsidP="0057294E">
      <w:pPr>
        <w:jc w:val="both"/>
        <w:rPr>
          <w:lang w:val="es-ES"/>
        </w:rPr>
      </w:pPr>
      <w:r w:rsidRPr="008941E0">
        <w:rPr>
          <w:b/>
          <w:caps/>
          <w:u w:val="single"/>
          <w:lang w:val="es-ES"/>
        </w:rPr>
        <w:t>Enfoque de tAREAS</w:t>
      </w:r>
    </w:p>
    <w:p w14:paraId="6331D94A" w14:textId="6E3AD860" w:rsidR="0057294E" w:rsidRPr="00F303B8" w:rsidRDefault="00421E0A" w:rsidP="0057294E">
      <w:pPr>
        <w:jc w:val="both"/>
        <w:rPr>
          <w:lang w:val="es-ES_tradnl"/>
        </w:rPr>
      </w:pPr>
      <w:r w:rsidRPr="008941E0">
        <w:rPr>
          <w:lang w:val="es-ES"/>
        </w:rPr>
        <w:t>Realizar análisis de los datos disponibles sobre los flujos financieros públicos y privados (</w:t>
      </w:r>
      <w:r w:rsidR="0032327E" w:rsidRPr="00716288">
        <w:rPr>
          <w:lang w:val="es-ES"/>
        </w:rPr>
        <w:t>climá</w:t>
      </w:r>
      <w:r w:rsidR="0032327E">
        <w:rPr>
          <w:lang w:val="es-ES"/>
        </w:rPr>
        <w:t>ticos</w:t>
      </w:r>
      <w:r w:rsidRPr="008941E0">
        <w:rPr>
          <w:lang w:val="es-ES"/>
        </w:rPr>
        <w:t>), a nivel nacional, regional e internacional.</w:t>
      </w:r>
    </w:p>
    <w:p w14:paraId="0A69C726" w14:textId="298258FA" w:rsidR="0057294E" w:rsidRPr="00F303B8" w:rsidRDefault="00421E0A" w:rsidP="0057294E">
      <w:pPr>
        <w:jc w:val="both"/>
        <w:rPr>
          <w:lang w:val="es-ES_tradnl"/>
        </w:rPr>
      </w:pPr>
      <w:r w:rsidRPr="008941E0">
        <w:rPr>
          <w:lang w:val="es-ES"/>
        </w:rPr>
        <w:lastRenderedPageBreak/>
        <w:t xml:space="preserve">Revisar los informes y documentos oficiales, según proceda, tales como planes nacionales y regionales de cambio climático, planes nacionales y regionales de desarrollo, NDC, Planes Nacionales de Adaptación, Evaluaciones de Necesidades </w:t>
      </w:r>
      <w:r w:rsidR="0018353B" w:rsidRPr="00716288">
        <w:rPr>
          <w:lang w:val="es-ES"/>
        </w:rPr>
        <w:t>Tecn</w:t>
      </w:r>
      <w:r w:rsidR="0018353B">
        <w:rPr>
          <w:lang w:val="es-ES"/>
        </w:rPr>
        <w:t>ológicas</w:t>
      </w:r>
      <w:r w:rsidRPr="008941E0">
        <w:rPr>
          <w:lang w:val="es-ES"/>
        </w:rPr>
        <w:t xml:space="preserve">, Comunicaciones Nacionales, </w:t>
      </w:r>
      <w:proofErr w:type="gramStart"/>
      <w:r w:rsidRPr="008941E0">
        <w:rPr>
          <w:lang w:val="es-ES"/>
        </w:rPr>
        <w:t>Actualización  Informes</w:t>
      </w:r>
      <w:proofErr w:type="gramEnd"/>
      <w:r w:rsidR="0032327E">
        <w:rPr>
          <w:lang w:val="es-ES"/>
        </w:rPr>
        <w:t xml:space="preserve"> Bienales de </w:t>
      </w:r>
      <w:r w:rsidR="0018353B">
        <w:rPr>
          <w:lang w:val="es-ES"/>
        </w:rPr>
        <w:t>Actualización</w:t>
      </w:r>
      <w:r w:rsidRPr="008941E0">
        <w:rPr>
          <w:lang w:val="es-ES"/>
        </w:rPr>
        <w:t>, etc., para una evaluación de necesidades y prioridades.</w:t>
      </w:r>
    </w:p>
    <w:p w14:paraId="1709B96D" w14:textId="77777777" w:rsidR="0057294E" w:rsidRPr="00F303B8" w:rsidRDefault="00421E0A" w:rsidP="0057294E">
      <w:pPr>
        <w:jc w:val="both"/>
        <w:rPr>
          <w:lang w:val="es-ES_tradnl"/>
        </w:rPr>
      </w:pPr>
      <w:r w:rsidRPr="008941E0">
        <w:rPr>
          <w:lang w:val="es-ES"/>
        </w:rPr>
        <w:t>Llevar a cabo investigaciones y revisión de escritorio de los informes y documentos pertinentes que evalúen el panorama financiero nacional, regional y mundial.</w:t>
      </w:r>
    </w:p>
    <w:p w14:paraId="6B1B3C0C" w14:textId="77777777" w:rsidR="0057294E" w:rsidRPr="00F303B8" w:rsidRDefault="00421E0A" w:rsidP="0057294E">
      <w:pPr>
        <w:jc w:val="both"/>
        <w:rPr>
          <w:lang w:val="es-ES_tradnl"/>
        </w:rPr>
      </w:pPr>
      <w:r w:rsidRPr="008941E0">
        <w:rPr>
          <w:lang w:val="es-ES"/>
        </w:rPr>
        <w:t>Incorporar, según proceda, información actualizada y pertinente de diferentes fuentes, incluidas publicaciones recientes de datos o informes pertinentes, así como resultados de políticas, programas e</w:t>
      </w:r>
      <w:r w:rsidR="0032327E">
        <w:rPr>
          <w:lang w:val="es-ES"/>
        </w:rPr>
        <w:t xml:space="preserve"> </w:t>
      </w:r>
      <w:r w:rsidRPr="008941E0">
        <w:rPr>
          <w:lang w:val="es-ES"/>
        </w:rPr>
        <w:t>iniciativas pertinentes.</w:t>
      </w:r>
    </w:p>
    <w:p w14:paraId="0EDB9412" w14:textId="77777777" w:rsidR="004F48D7" w:rsidRDefault="006C01F4" w:rsidP="00755E30">
      <w:pPr>
        <w:jc w:val="both"/>
        <w:rPr>
          <w:b/>
          <w:caps/>
          <w:u w:val="single"/>
        </w:rPr>
      </w:pPr>
      <w:r>
        <w:rPr>
          <w:b/>
          <w:caps/>
          <w:u w:val="single"/>
        </w:rPr>
        <w:t>Salidas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87"/>
        <w:gridCol w:w="1355"/>
        <w:gridCol w:w="2761"/>
        <w:gridCol w:w="1847"/>
      </w:tblGrid>
      <w:tr w:rsidR="006C01F4" w:rsidRPr="0032327E" w14:paraId="333DFB2C" w14:textId="77777777" w:rsidTr="006D0A80">
        <w:trPr>
          <w:jc w:val="center"/>
        </w:trPr>
        <w:tc>
          <w:tcPr>
            <w:tcW w:w="3387" w:type="dxa"/>
            <w:shd w:val="clear" w:color="auto" w:fill="auto"/>
          </w:tcPr>
          <w:p w14:paraId="18CC25D2" w14:textId="77777777" w:rsidR="006C01F4" w:rsidRPr="008941E0" w:rsidRDefault="00421E0A" w:rsidP="00CC19F8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8941E0">
              <w:rPr>
                <w:b/>
                <w:sz w:val="20"/>
                <w:szCs w:val="20"/>
                <w:lang w:val="es-ES"/>
              </w:rPr>
              <w:t>Salidas/Resultados</w:t>
            </w:r>
          </w:p>
        </w:tc>
        <w:tc>
          <w:tcPr>
            <w:tcW w:w="1355" w:type="dxa"/>
            <w:shd w:val="clear" w:color="auto" w:fill="auto"/>
          </w:tcPr>
          <w:p w14:paraId="6AD3B45D" w14:textId="77777777" w:rsidR="006C01F4" w:rsidRPr="008941E0" w:rsidRDefault="00421E0A" w:rsidP="00CC19F8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8941E0">
              <w:rPr>
                <w:b/>
                <w:sz w:val="20"/>
                <w:szCs w:val="20"/>
                <w:lang w:val="es-ES"/>
              </w:rPr>
              <w:t>Fecha indicativa</w:t>
            </w:r>
          </w:p>
        </w:tc>
        <w:tc>
          <w:tcPr>
            <w:tcW w:w="2761" w:type="dxa"/>
            <w:shd w:val="clear" w:color="auto" w:fill="auto"/>
          </w:tcPr>
          <w:p w14:paraId="56BB5423" w14:textId="77777777" w:rsidR="006C01F4" w:rsidRPr="008941E0" w:rsidRDefault="00421E0A" w:rsidP="00CC19F8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8941E0">
              <w:rPr>
                <w:b/>
                <w:sz w:val="20"/>
                <w:szCs w:val="20"/>
                <w:lang w:val="es-ES"/>
              </w:rPr>
              <w:t>Indicadores de rendimiento</w:t>
            </w:r>
          </w:p>
        </w:tc>
        <w:tc>
          <w:tcPr>
            <w:tcW w:w="1847" w:type="dxa"/>
          </w:tcPr>
          <w:p w14:paraId="6B97A265" w14:textId="69AE65D7" w:rsidR="006C01F4" w:rsidRPr="008941E0" w:rsidRDefault="00570EC2" w:rsidP="00CC19F8">
            <w:pPr>
              <w:jc w:val="center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 xml:space="preserve">Esquema de Pago </w:t>
            </w:r>
          </w:p>
        </w:tc>
      </w:tr>
      <w:tr w:rsidR="006C01F4" w:rsidRPr="0032327E" w14:paraId="458BE9DE" w14:textId="77777777" w:rsidTr="00976F44">
        <w:trPr>
          <w:jc w:val="center"/>
        </w:trPr>
        <w:tc>
          <w:tcPr>
            <w:tcW w:w="3387" w:type="dxa"/>
            <w:shd w:val="clear" w:color="auto" w:fill="auto"/>
          </w:tcPr>
          <w:p w14:paraId="6BD991D6" w14:textId="6285C890" w:rsidR="006C01F4" w:rsidRPr="008941E0" w:rsidRDefault="00421E0A" w:rsidP="0032327E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 xml:space="preserve">Una evaluación diagnóstica de los flujos de financiamiento climático </w:t>
            </w:r>
            <w:r w:rsidR="0032327E" w:rsidRPr="0032327E">
              <w:rPr>
                <w:sz w:val="20"/>
                <w:szCs w:val="20"/>
                <w:lang w:val="es-ES"/>
              </w:rPr>
              <w:t xml:space="preserve">existentes </w:t>
            </w:r>
            <w:r w:rsidRPr="008941E0">
              <w:rPr>
                <w:sz w:val="20"/>
                <w:szCs w:val="20"/>
                <w:lang w:val="es-ES"/>
              </w:rPr>
              <w:t>(nacionales e internacionales), y necesidades para la República Dominicana;</w:t>
            </w:r>
          </w:p>
        </w:tc>
        <w:tc>
          <w:tcPr>
            <w:tcW w:w="1355" w:type="dxa"/>
            <w:shd w:val="clear" w:color="auto" w:fill="auto"/>
          </w:tcPr>
          <w:p w14:paraId="14BCAA31" w14:textId="6CF64CAE" w:rsidR="006C01F4" w:rsidRPr="008941E0" w:rsidRDefault="00421E0A">
            <w:pPr>
              <w:jc w:val="center"/>
              <w:rPr>
                <w:i/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 xml:space="preserve">1 </w:t>
            </w:r>
            <w:r w:rsidR="00204685">
              <w:rPr>
                <w:sz w:val="20"/>
                <w:szCs w:val="20"/>
                <w:lang w:val="es-ES"/>
              </w:rPr>
              <w:t>d</w:t>
            </w:r>
            <w:r w:rsidRPr="008941E0">
              <w:rPr>
                <w:sz w:val="20"/>
                <w:szCs w:val="20"/>
                <w:lang w:val="es-ES"/>
              </w:rPr>
              <w:t>e enero 20</w:t>
            </w:r>
            <w:r w:rsidR="00CB71B6">
              <w:rPr>
                <w:sz w:val="20"/>
                <w:szCs w:val="20"/>
                <w:lang w:val="es-ES"/>
              </w:rPr>
              <w:t>20</w:t>
            </w:r>
          </w:p>
        </w:tc>
        <w:tc>
          <w:tcPr>
            <w:tcW w:w="2761" w:type="dxa"/>
            <w:shd w:val="clear" w:color="auto" w:fill="auto"/>
          </w:tcPr>
          <w:p w14:paraId="24D9DF90" w14:textId="77777777" w:rsidR="0051514F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Aprobación por la CMNUCC</w:t>
            </w:r>
          </w:p>
          <w:p w14:paraId="55624EE9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Puntualidad</w:t>
            </w:r>
          </w:p>
          <w:p w14:paraId="377A11F1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Calidad y pertinencia de los insumos sobre la estructura y el contenido</w:t>
            </w:r>
          </w:p>
          <w:p w14:paraId="610F2776" w14:textId="77777777" w:rsidR="006A4FF9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Precisión técnica de la información</w:t>
            </w:r>
          </w:p>
        </w:tc>
        <w:tc>
          <w:tcPr>
            <w:tcW w:w="1847" w:type="dxa"/>
          </w:tcPr>
          <w:p w14:paraId="1D69BCB3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Entregable 1:</w:t>
            </w:r>
          </w:p>
          <w:p w14:paraId="7C78E8E7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Pago: 15%</w:t>
            </w:r>
          </w:p>
        </w:tc>
      </w:tr>
      <w:tr w:rsidR="006C01F4" w:rsidRPr="0032327E" w14:paraId="2EEFEF62" w14:textId="77777777" w:rsidTr="00976F44">
        <w:trPr>
          <w:jc w:val="center"/>
        </w:trPr>
        <w:tc>
          <w:tcPr>
            <w:tcW w:w="3387" w:type="dxa"/>
            <w:shd w:val="clear" w:color="auto" w:fill="auto"/>
          </w:tcPr>
          <w:p w14:paraId="2397BE8B" w14:textId="5956ED04" w:rsidR="006C01F4" w:rsidRPr="008941E0" w:rsidRDefault="00421E0A" w:rsidP="00350859">
            <w:pPr>
              <w:jc w:val="both"/>
              <w:rPr>
                <w:sz w:val="20"/>
                <w:szCs w:val="20"/>
                <w:highlight w:val="yellow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 xml:space="preserve">Un análisis del medio ambiente que permita la inversión nacional y la capacidad de los mercados financieros para financiar la aplicación de </w:t>
            </w:r>
            <w:proofErr w:type="spellStart"/>
            <w:r w:rsidRPr="008941E0">
              <w:rPr>
                <w:sz w:val="20"/>
                <w:szCs w:val="20"/>
                <w:lang w:val="es-ES"/>
              </w:rPr>
              <w:t>l</w:t>
            </w:r>
            <w:r w:rsidR="00350859">
              <w:rPr>
                <w:sz w:val="20"/>
                <w:szCs w:val="20"/>
                <w:lang w:val="es-ES"/>
              </w:rPr>
              <w:t>s</w:t>
            </w:r>
            <w:r w:rsidRPr="008941E0">
              <w:rPr>
                <w:sz w:val="20"/>
                <w:szCs w:val="20"/>
                <w:lang w:val="es-ES"/>
              </w:rPr>
              <w:t>s</w:t>
            </w:r>
            <w:proofErr w:type="spellEnd"/>
            <w:r w:rsidR="00350859">
              <w:rPr>
                <w:sz w:val="20"/>
                <w:szCs w:val="20"/>
                <w:lang w:val="es-ES"/>
              </w:rPr>
              <w:t xml:space="preserve"> NDC</w:t>
            </w:r>
            <w:r w:rsidRPr="008941E0">
              <w:rPr>
                <w:sz w:val="20"/>
                <w:szCs w:val="20"/>
                <w:lang w:val="es-ES"/>
              </w:rPr>
              <w:t xml:space="preserve"> y o las prioridades nacionales en materia de cambio climático;</w:t>
            </w:r>
          </w:p>
        </w:tc>
        <w:tc>
          <w:tcPr>
            <w:tcW w:w="1355" w:type="dxa"/>
            <w:shd w:val="clear" w:color="auto" w:fill="auto"/>
          </w:tcPr>
          <w:p w14:paraId="0F75AC9F" w14:textId="165C675B" w:rsidR="006C01F4" w:rsidRPr="008941E0" w:rsidRDefault="00421E0A" w:rsidP="00350859">
            <w:pPr>
              <w:jc w:val="center"/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 xml:space="preserve">02 </w:t>
            </w:r>
            <w:r w:rsidR="00204685">
              <w:rPr>
                <w:sz w:val="20"/>
                <w:szCs w:val="20"/>
                <w:lang w:val="es-ES"/>
              </w:rPr>
              <w:t>m</w:t>
            </w:r>
            <w:r w:rsidRPr="008941E0">
              <w:rPr>
                <w:sz w:val="20"/>
                <w:szCs w:val="20"/>
                <w:lang w:val="es-ES"/>
              </w:rPr>
              <w:t>ar</w:t>
            </w:r>
            <w:r w:rsidR="00350859">
              <w:rPr>
                <w:sz w:val="20"/>
                <w:szCs w:val="20"/>
                <w:lang w:val="es-ES"/>
              </w:rPr>
              <w:t>zo</w:t>
            </w:r>
            <w:r w:rsidRPr="008941E0">
              <w:rPr>
                <w:sz w:val="20"/>
                <w:szCs w:val="20"/>
                <w:lang w:val="es-ES"/>
              </w:rPr>
              <w:t xml:space="preserve"> 2020</w:t>
            </w:r>
          </w:p>
        </w:tc>
        <w:tc>
          <w:tcPr>
            <w:tcW w:w="2761" w:type="dxa"/>
            <w:shd w:val="clear" w:color="auto" w:fill="auto"/>
          </w:tcPr>
          <w:p w14:paraId="306C063C" w14:textId="77777777" w:rsidR="0051514F" w:rsidRPr="008941E0" w:rsidRDefault="00421E0A" w:rsidP="006A4FF9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Aprobación por la CMNUCC</w:t>
            </w:r>
          </w:p>
          <w:p w14:paraId="3B3807A9" w14:textId="77777777" w:rsidR="006A4FF9" w:rsidRPr="008941E0" w:rsidRDefault="00421E0A" w:rsidP="006A4FF9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Calidad de los insumos</w:t>
            </w:r>
          </w:p>
          <w:p w14:paraId="6F8AAC64" w14:textId="77777777" w:rsidR="006C01F4" w:rsidRPr="008941E0" w:rsidRDefault="00421E0A" w:rsidP="006A4FF9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Lógica y relevancia de la información</w:t>
            </w:r>
          </w:p>
          <w:p w14:paraId="36047BE7" w14:textId="77777777" w:rsidR="006A4FF9" w:rsidRPr="008941E0" w:rsidRDefault="00421E0A" w:rsidP="006A4FF9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Precisión técnica de la información</w:t>
            </w:r>
          </w:p>
        </w:tc>
        <w:tc>
          <w:tcPr>
            <w:tcW w:w="1847" w:type="dxa"/>
          </w:tcPr>
          <w:p w14:paraId="65122542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Entregable 2:</w:t>
            </w:r>
          </w:p>
          <w:p w14:paraId="042C34BD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Pago: 15%</w:t>
            </w:r>
          </w:p>
        </w:tc>
      </w:tr>
      <w:tr w:rsidR="006C01F4" w:rsidRPr="0032327E" w14:paraId="4F23591E" w14:textId="77777777" w:rsidTr="00976F44">
        <w:trPr>
          <w:jc w:val="center"/>
        </w:trPr>
        <w:tc>
          <w:tcPr>
            <w:tcW w:w="3387" w:type="dxa"/>
            <w:shd w:val="clear" w:color="auto" w:fill="auto"/>
          </w:tcPr>
          <w:p w14:paraId="45BF4955" w14:textId="7EA398B1" w:rsidR="006C01F4" w:rsidRPr="008941E0" w:rsidRDefault="00421E0A" w:rsidP="00204685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La identificación de una cartera de inversiones y proyectos prioritarios (incluidos los proyectos de MD</w:t>
            </w:r>
            <w:r w:rsidR="00204685">
              <w:rPr>
                <w:sz w:val="20"/>
                <w:szCs w:val="20"/>
                <w:lang w:val="es-ES"/>
              </w:rPr>
              <w:t>L</w:t>
            </w:r>
            <w:r w:rsidRPr="008941E0">
              <w:rPr>
                <w:sz w:val="20"/>
                <w:szCs w:val="20"/>
                <w:lang w:val="es-ES"/>
              </w:rPr>
              <w:t xml:space="preserve"> nuevos y existentes) y la elaboración de las necesidades y la financiación necesaria para desplegar inversiones y proyectos prioritarios;</w:t>
            </w:r>
          </w:p>
        </w:tc>
        <w:tc>
          <w:tcPr>
            <w:tcW w:w="1355" w:type="dxa"/>
            <w:shd w:val="clear" w:color="auto" w:fill="auto"/>
          </w:tcPr>
          <w:p w14:paraId="566D2DB3" w14:textId="77777777" w:rsidR="006C01F4" w:rsidRPr="008941E0" w:rsidRDefault="00421E0A" w:rsidP="00350859">
            <w:pPr>
              <w:jc w:val="center"/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01 abr</w:t>
            </w:r>
            <w:r w:rsidR="00350859">
              <w:rPr>
                <w:sz w:val="20"/>
                <w:szCs w:val="20"/>
                <w:lang w:val="es-ES"/>
              </w:rPr>
              <w:t>il</w:t>
            </w:r>
            <w:r w:rsidRPr="008941E0">
              <w:rPr>
                <w:sz w:val="20"/>
                <w:szCs w:val="20"/>
                <w:lang w:val="es-ES"/>
              </w:rPr>
              <w:t xml:space="preserve"> 2019</w:t>
            </w:r>
          </w:p>
        </w:tc>
        <w:tc>
          <w:tcPr>
            <w:tcW w:w="2761" w:type="dxa"/>
            <w:shd w:val="clear" w:color="auto" w:fill="auto"/>
          </w:tcPr>
          <w:p w14:paraId="357F147A" w14:textId="77777777" w:rsidR="0051514F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Aprobación por la CMNUCC</w:t>
            </w:r>
          </w:p>
          <w:p w14:paraId="67416E1A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Calidad de la redacción</w:t>
            </w:r>
          </w:p>
          <w:p w14:paraId="5429B6DB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Relevancia de los insumos</w:t>
            </w:r>
          </w:p>
          <w:p w14:paraId="5F58E079" w14:textId="77777777" w:rsidR="006C01F4" w:rsidRPr="008941E0" w:rsidRDefault="00421E0A" w:rsidP="00CC19F8">
            <w:pPr>
              <w:rPr>
                <w:b/>
                <w:sz w:val="20"/>
                <w:szCs w:val="20"/>
                <w:highlight w:val="lightGray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Precisión técnica de la información</w:t>
            </w:r>
          </w:p>
        </w:tc>
        <w:tc>
          <w:tcPr>
            <w:tcW w:w="1847" w:type="dxa"/>
          </w:tcPr>
          <w:p w14:paraId="6FA877E4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Entregable 3:</w:t>
            </w:r>
          </w:p>
          <w:p w14:paraId="2D0C6249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Pago: 15%</w:t>
            </w:r>
          </w:p>
        </w:tc>
      </w:tr>
      <w:tr w:rsidR="006C01F4" w:rsidRPr="0032327E" w14:paraId="642CE607" w14:textId="77777777" w:rsidTr="006D0A80">
        <w:trPr>
          <w:jc w:val="center"/>
        </w:trPr>
        <w:tc>
          <w:tcPr>
            <w:tcW w:w="3387" w:type="dxa"/>
            <w:shd w:val="clear" w:color="auto" w:fill="auto"/>
          </w:tcPr>
          <w:p w14:paraId="1A1EC27F" w14:textId="6525C94A" w:rsidR="006C01F4" w:rsidRPr="008941E0" w:rsidRDefault="00421E0A" w:rsidP="00204685">
            <w:pPr>
              <w:rPr>
                <w:sz w:val="20"/>
                <w:szCs w:val="20"/>
                <w:highlight w:val="yellow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Identificación de una cartera de inversiones y proyectos prioritarios (incluidos los proyectos de MD</w:t>
            </w:r>
            <w:r w:rsidR="00204685">
              <w:rPr>
                <w:sz w:val="20"/>
                <w:szCs w:val="20"/>
                <w:lang w:val="es-ES"/>
              </w:rPr>
              <w:t>L</w:t>
            </w:r>
            <w:r w:rsidRPr="008941E0">
              <w:rPr>
                <w:sz w:val="20"/>
                <w:szCs w:val="20"/>
                <w:lang w:val="es-ES"/>
              </w:rPr>
              <w:t xml:space="preserve"> nuevos y existentes) y la elaboración de las necesidades y la financiación </w:t>
            </w:r>
            <w:r w:rsidRPr="008941E0">
              <w:rPr>
                <w:sz w:val="20"/>
                <w:szCs w:val="20"/>
                <w:lang w:val="es-ES"/>
              </w:rPr>
              <w:lastRenderedPageBreak/>
              <w:t>necesarias para desplegar estas inversiones y proyectos prioritarios;</w:t>
            </w:r>
          </w:p>
        </w:tc>
        <w:tc>
          <w:tcPr>
            <w:tcW w:w="1355" w:type="dxa"/>
            <w:shd w:val="clear" w:color="auto" w:fill="auto"/>
          </w:tcPr>
          <w:p w14:paraId="29183983" w14:textId="75A819FC" w:rsidR="006C01F4" w:rsidRPr="008941E0" w:rsidRDefault="00421E0A" w:rsidP="00F205C7">
            <w:pPr>
              <w:jc w:val="center"/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lastRenderedPageBreak/>
              <w:t xml:space="preserve">02 </w:t>
            </w:r>
            <w:r w:rsidR="00204685">
              <w:rPr>
                <w:sz w:val="20"/>
                <w:szCs w:val="20"/>
                <w:lang w:val="es-ES"/>
              </w:rPr>
              <w:t>a</w:t>
            </w:r>
            <w:r w:rsidRPr="008941E0">
              <w:rPr>
                <w:sz w:val="20"/>
                <w:szCs w:val="20"/>
                <w:lang w:val="es-ES"/>
              </w:rPr>
              <w:t>br</w:t>
            </w:r>
            <w:r w:rsidR="00F205C7">
              <w:rPr>
                <w:sz w:val="20"/>
                <w:szCs w:val="20"/>
                <w:lang w:val="es-ES"/>
              </w:rPr>
              <w:t>il</w:t>
            </w:r>
            <w:r w:rsidRPr="008941E0">
              <w:rPr>
                <w:sz w:val="20"/>
                <w:szCs w:val="20"/>
                <w:lang w:val="es-ES"/>
              </w:rPr>
              <w:t xml:space="preserve"> 2020</w:t>
            </w:r>
          </w:p>
        </w:tc>
        <w:tc>
          <w:tcPr>
            <w:tcW w:w="2761" w:type="dxa"/>
            <w:shd w:val="clear" w:color="auto" w:fill="auto"/>
          </w:tcPr>
          <w:p w14:paraId="216312FC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Aprobación por la CMNUCC</w:t>
            </w:r>
          </w:p>
          <w:p w14:paraId="70DC1075" w14:textId="77777777" w:rsidR="00413557" w:rsidRPr="008941E0" w:rsidRDefault="00421E0A" w:rsidP="00413557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Calidad de la redacción</w:t>
            </w:r>
          </w:p>
          <w:p w14:paraId="45703A36" w14:textId="77777777" w:rsidR="00413557" w:rsidRPr="008941E0" w:rsidRDefault="00421E0A" w:rsidP="00413557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Relevancia de los insumos</w:t>
            </w:r>
          </w:p>
          <w:p w14:paraId="7D75FE0F" w14:textId="77777777" w:rsidR="00413557" w:rsidRPr="008941E0" w:rsidRDefault="00421E0A" w:rsidP="00413557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lastRenderedPageBreak/>
              <w:t>Precisión técnica de la información</w:t>
            </w:r>
          </w:p>
        </w:tc>
        <w:tc>
          <w:tcPr>
            <w:tcW w:w="1847" w:type="dxa"/>
          </w:tcPr>
          <w:p w14:paraId="32A07A7D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lastRenderedPageBreak/>
              <w:t>Entregable 4:</w:t>
            </w:r>
          </w:p>
          <w:p w14:paraId="5187DCC2" w14:textId="77777777" w:rsidR="006C01F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Pago: 15%</w:t>
            </w:r>
          </w:p>
        </w:tc>
      </w:tr>
      <w:tr w:rsidR="003E49B4" w:rsidRPr="0032327E" w14:paraId="6F1A876D" w14:textId="77777777" w:rsidTr="00976F44">
        <w:trPr>
          <w:jc w:val="center"/>
        </w:trPr>
        <w:tc>
          <w:tcPr>
            <w:tcW w:w="3387" w:type="dxa"/>
            <w:shd w:val="clear" w:color="auto" w:fill="auto"/>
          </w:tcPr>
          <w:p w14:paraId="2981756F" w14:textId="77777777" w:rsidR="003E49B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Una evaluación de los vínculos y sinergias con otras políticas, programas e iniciativas (por ejemplo, GCCA+, Banco Mundial, CIACA, etc.).</w:t>
            </w:r>
          </w:p>
        </w:tc>
        <w:tc>
          <w:tcPr>
            <w:tcW w:w="1355" w:type="dxa"/>
            <w:shd w:val="clear" w:color="auto" w:fill="auto"/>
          </w:tcPr>
          <w:p w14:paraId="6682E376" w14:textId="2645435C" w:rsidR="003E49B4" w:rsidRPr="008941E0" w:rsidRDefault="00421E0A" w:rsidP="00CC19F8">
            <w:pPr>
              <w:jc w:val="center"/>
              <w:rPr>
                <w:sz w:val="20"/>
                <w:szCs w:val="20"/>
                <w:lang w:val="es-ES"/>
              </w:rPr>
            </w:pPr>
            <w:proofErr w:type="gramStart"/>
            <w:r w:rsidRPr="008941E0">
              <w:rPr>
                <w:sz w:val="20"/>
                <w:szCs w:val="20"/>
                <w:lang w:val="es-ES"/>
              </w:rPr>
              <w:t>04  mayo</w:t>
            </w:r>
            <w:proofErr w:type="gramEnd"/>
            <w:r w:rsidRPr="008941E0">
              <w:rPr>
                <w:sz w:val="20"/>
                <w:szCs w:val="20"/>
                <w:lang w:val="es-ES"/>
              </w:rPr>
              <w:t xml:space="preserve">  2020</w:t>
            </w:r>
          </w:p>
        </w:tc>
        <w:tc>
          <w:tcPr>
            <w:tcW w:w="2761" w:type="dxa"/>
            <w:shd w:val="clear" w:color="auto" w:fill="auto"/>
          </w:tcPr>
          <w:p w14:paraId="465D124A" w14:textId="77777777" w:rsidR="003E49B4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Aprobación por la CMNUCC</w:t>
            </w:r>
          </w:p>
          <w:p w14:paraId="7B93745A" w14:textId="77777777" w:rsidR="00413557" w:rsidRPr="008941E0" w:rsidRDefault="00421E0A" w:rsidP="00413557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Calidad de la redacción</w:t>
            </w:r>
          </w:p>
          <w:p w14:paraId="62E387DF" w14:textId="77777777" w:rsidR="00413557" w:rsidRPr="008941E0" w:rsidRDefault="00421E0A" w:rsidP="00413557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Relevancia de los insumos</w:t>
            </w:r>
          </w:p>
          <w:p w14:paraId="4DE0547F" w14:textId="77777777" w:rsidR="00413557" w:rsidRPr="008941E0" w:rsidRDefault="00421E0A" w:rsidP="00413557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Precisión técnica de la información</w:t>
            </w:r>
          </w:p>
        </w:tc>
        <w:tc>
          <w:tcPr>
            <w:tcW w:w="1847" w:type="dxa"/>
          </w:tcPr>
          <w:p w14:paraId="321667DA" w14:textId="77777777" w:rsidR="003E49B4" w:rsidRPr="008941E0" w:rsidRDefault="00421E0A" w:rsidP="003E49B4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Entregable 5:</w:t>
            </w:r>
          </w:p>
          <w:p w14:paraId="209AD643" w14:textId="77777777" w:rsidR="003E49B4" w:rsidRPr="008941E0" w:rsidRDefault="00421E0A" w:rsidP="003E49B4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Pago: 15%</w:t>
            </w:r>
          </w:p>
        </w:tc>
      </w:tr>
      <w:tr w:rsidR="009A18D0" w:rsidRPr="0032327E" w14:paraId="3C27DDAF" w14:textId="77777777" w:rsidTr="00976F44">
        <w:trPr>
          <w:jc w:val="center"/>
        </w:trPr>
        <w:tc>
          <w:tcPr>
            <w:tcW w:w="3387" w:type="dxa"/>
            <w:shd w:val="clear" w:color="auto" w:fill="auto"/>
          </w:tcPr>
          <w:p w14:paraId="67CA5E8D" w14:textId="77777777" w:rsidR="009A18D0" w:rsidRPr="008941E0" w:rsidRDefault="00421E0A" w:rsidP="00CC19F8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Consolidación de los 5 productos en un solo informe</w:t>
            </w:r>
          </w:p>
        </w:tc>
        <w:tc>
          <w:tcPr>
            <w:tcW w:w="1355" w:type="dxa"/>
            <w:shd w:val="clear" w:color="auto" w:fill="auto"/>
          </w:tcPr>
          <w:p w14:paraId="599A2E19" w14:textId="77777777" w:rsidR="009A18D0" w:rsidRPr="008941E0" w:rsidRDefault="00421E0A" w:rsidP="00350859">
            <w:pPr>
              <w:jc w:val="center"/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02 jun</w:t>
            </w:r>
            <w:r w:rsidR="00350859">
              <w:rPr>
                <w:sz w:val="20"/>
                <w:szCs w:val="20"/>
                <w:lang w:val="es-ES"/>
              </w:rPr>
              <w:t>io</w:t>
            </w:r>
            <w:r w:rsidRPr="008941E0">
              <w:rPr>
                <w:sz w:val="20"/>
                <w:szCs w:val="20"/>
                <w:lang w:val="es-ES"/>
              </w:rPr>
              <w:t xml:space="preserve"> 2020</w:t>
            </w:r>
          </w:p>
        </w:tc>
        <w:tc>
          <w:tcPr>
            <w:tcW w:w="2761" w:type="dxa"/>
            <w:shd w:val="clear" w:color="auto" w:fill="auto"/>
          </w:tcPr>
          <w:p w14:paraId="0AE75DFC" w14:textId="77777777" w:rsidR="0051514F" w:rsidRPr="008941E0" w:rsidRDefault="00421E0A" w:rsidP="006A4FF9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Aprobación por la CMNUCC</w:t>
            </w:r>
          </w:p>
          <w:p w14:paraId="690D4B69" w14:textId="77777777" w:rsidR="006A4FF9" w:rsidRPr="008941E0" w:rsidRDefault="00421E0A" w:rsidP="006A4FF9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Calidad de los insumos</w:t>
            </w:r>
          </w:p>
          <w:p w14:paraId="3E12E432" w14:textId="77777777" w:rsidR="009A18D0" w:rsidRPr="008941E0" w:rsidRDefault="00421E0A" w:rsidP="006A4FF9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Lógica y relevancia de la información añadida</w:t>
            </w:r>
          </w:p>
        </w:tc>
        <w:tc>
          <w:tcPr>
            <w:tcW w:w="1847" w:type="dxa"/>
          </w:tcPr>
          <w:p w14:paraId="75C91EF6" w14:textId="77777777" w:rsidR="003E49B4" w:rsidRPr="008941E0" w:rsidRDefault="00421E0A" w:rsidP="003E49B4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Entregable 6:</w:t>
            </w:r>
          </w:p>
          <w:p w14:paraId="3FB5CA8A" w14:textId="4A35F218" w:rsidR="009A18D0" w:rsidRPr="008941E0" w:rsidRDefault="00421E0A" w:rsidP="007A4331">
            <w:pPr>
              <w:rPr>
                <w:sz w:val="20"/>
                <w:szCs w:val="20"/>
                <w:lang w:val="es-ES"/>
              </w:rPr>
            </w:pPr>
            <w:r w:rsidRPr="008941E0">
              <w:rPr>
                <w:sz w:val="20"/>
                <w:szCs w:val="20"/>
                <w:lang w:val="es-ES"/>
              </w:rPr>
              <w:t>Pago: 2</w:t>
            </w:r>
            <w:r w:rsidR="007A4331">
              <w:rPr>
                <w:sz w:val="20"/>
                <w:szCs w:val="20"/>
                <w:lang w:val="es-ES"/>
              </w:rPr>
              <w:t>5</w:t>
            </w:r>
            <w:r w:rsidRPr="008941E0">
              <w:rPr>
                <w:sz w:val="20"/>
                <w:szCs w:val="20"/>
                <w:lang w:val="es-ES"/>
              </w:rPr>
              <w:t>%</w:t>
            </w:r>
          </w:p>
        </w:tc>
      </w:tr>
    </w:tbl>
    <w:p w14:paraId="60705C56" w14:textId="77777777" w:rsidR="00ED464F" w:rsidRPr="008941E0" w:rsidRDefault="00ED464F" w:rsidP="00755E30">
      <w:pPr>
        <w:jc w:val="both"/>
        <w:rPr>
          <w:b/>
          <w:caps/>
          <w:u w:val="single"/>
          <w:lang w:val="es-ES"/>
        </w:rPr>
      </w:pPr>
    </w:p>
    <w:p w14:paraId="5193404F" w14:textId="12955C1C" w:rsidR="004F48D7" w:rsidRPr="008941E0" w:rsidRDefault="00421E0A" w:rsidP="00755E30">
      <w:pPr>
        <w:jc w:val="both"/>
        <w:rPr>
          <w:b/>
          <w:caps/>
          <w:u w:val="single"/>
          <w:lang w:val="es-ES"/>
        </w:rPr>
      </w:pPr>
      <w:r w:rsidRPr="008941E0">
        <w:rPr>
          <w:b/>
          <w:caps/>
          <w:u w:val="single"/>
          <w:lang w:val="es-ES"/>
        </w:rPr>
        <w:t xml:space="preserve"> INICIO y duración</w:t>
      </w:r>
    </w:p>
    <w:p w14:paraId="1916F436" w14:textId="06FB6C67" w:rsidR="00B007D9" w:rsidRPr="008941E0" w:rsidRDefault="00421E0A" w:rsidP="00B007D9">
      <w:pPr>
        <w:jc w:val="both"/>
        <w:rPr>
          <w:lang w:val="es-ES"/>
        </w:rPr>
      </w:pPr>
      <w:r w:rsidRPr="008941E0">
        <w:rPr>
          <w:lang w:val="es-ES"/>
        </w:rPr>
        <w:t>Fecha de inicio: 01 de</w:t>
      </w:r>
      <w:r w:rsidR="00A83EA9">
        <w:rPr>
          <w:lang w:val="es-ES"/>
        </w:rPr>
        <w:t xml:space="preserve"> </w:t>
      </w:r>
      <w:proofErr w:type="gramStart"/>
      <w:r w:rsidRPr="008941E0">
        <w:rPr>
          <w:lang w:val="es-ES"/>
        </w:rPr>
        <w:t>enero</w:t>
      </w:r>
      <w:r w:rsidR="00A83EA9">
        <w:rPr>
          <w:lang w:val="es-ES"/>
        </w:rPr>
        <w:t>,</w:t>
      </w:r>
      <w:r w:rsidRPr="008941E0">
        <w:rPr>
          <w:lang w:val="es-ES"/>
        </w:rPr>
        <w:t xml:space="preserve">  2020</w:t>
      </w:r>
      <w:proofErr w:type="gramEnd"/>
    </w:p>
    <w:p w14:paraId="20A38978" w14:textId="4D7AE12D" w:rsidR="00B007D9" w:rsidRPr="008941E0" w:rsidRDefault="00421E0A" w:rsidP="00B007D9">
      <w:pPr>
        <w:jc w:val="both"/>
        <w:rPr>
          <w:lang w:val="es-ES"/>
        </w:rPr>
      </w:pPr>
      <w:r w:rsidRPr="008941E0">
        <w:rPr>
          <w:lang w:val="es-ES"/>
        </w:rPr>
        <w:t>Fecha de finalización:</w:t>
      </w:r>
      <w:r w:rsidR="00A83EA9">
        <w:rPr>
          <w:lang w:val="es-ES"/>
        </w:rPr>
        <w:t xml:space="preserve"> </w:t>
      </w:r>
      <w:r w:rsidRPr="008941E0">
        <w:rPr>
          <w:lang w:val="es-ES"/>
        </w:rPr>
        <w:t xml:space="preserve">02 de </w:t>
      </w:r>
      <w:proofErr w:type="gramStart"/>
      <w:r w:rsidRPr="008941E0">
        <w:rPr>
          <w:lang w:val="es-ES"/>
        </w:rPr>
        <w:t>junio</w:t>
      </w:r>
      <w:r w:rsidR="00A83EA9">
        <w:rPr>
          <w:lang w:val="es-ES"/>
        </w:rPr>
        <w:t>,</w:t>
      </w:r>
      <w:r w:rsidRPr="008941E0">
        <w:rPr>
          <w:lang w:val="es-ES"/>
        </w:rPr>
        <w:t xml:space="preserve">  2020</w:t>
      </w:r>
      <w:proofErr w:type="gramEnd"/>
    </w:p>
    <w:p w14:paraId="3CDD8FDE" w14:textId="77777777" w:rsidR="00B007D9" w:rsidRPr="008941E0" w:rsidRDefault="00421E0A" w:rsidP="00B007D9">
      <w:pPr>
        <w:jc w:val="both"/>
        <w:rPr>
          <w:lang w:val="es-ES"/>
        </w:rPr>
      </w:pPr>
      <w:r w:rsidRPr="008941E0">
        <w:rPr>
          <w:lang w:val="es-ES"/>
        </w:rPr>
        <w:t>Días de trabajo estimados: 40 días</w:t>
      </w:r>
    </w:p>
    <w:p w14:paraId="1AE5183C" w14:textId="77777777" w:rsidR="004F48D7" w:rsidRPr="008941E0" w:rsidRDefault="00421E0A" w:rsidP="00755E30">
      <w:pPr>
        <w:jc w:val="both"/>
        <w:rPr>
          <w:b/>
          <w:caps/>
          <w:u w:val="single"/>
          <w:lang w:val="es-ES"/>
        </w:rPr>
      </w:pPr>
      <w:r w:rsidRPr="008941E0">
        <w:rPr>
          <w:b/>
          <w:caps/>
          <w:u w:val="single"/>
          <w:lang w:val="es-ES"/>
        </w:rPr>
        <w:t>Implementación e informes</w:t>
      </w:r>
    </w:p>
    <w:p w14:paraId="61DF6E71" w14:textId="5BF89537" w:rsidR="007C1665" w:rsidRPr="008941E0" w:rsidRDefault="00421E0A" w:rsidP="00755E30">
      <w:pPr>
        <w:jc w:val="both"/>
        <w:rPr>
          <w:lang w:val="es-ES"/>
        </w:rPr>
      </w:pPr>
      <w:r w:rsidRPr="008941E0">
        <w:rPr>
          <w:lang w:val="es-ES"/>
        </w:rPr>
        <w:t xml:space="preserve">Toda coordinación e información se efectuará a través del Centro </w:t>
      </w:r>
      <w:r w:rsidR="00A83EA9">
        <w:rPr>
          <w:lang w:val="es-ES"/>
        </w:rPr>
        <w:t>d</w:t>
      </w:r>
      <w:r w:rsidRPr="008941E0">
        <w:rPr>
          <w:lang w:val="es-ES"/>
        </w:rPr>
        <w:t xml:space="preserve">e Colaboración Regional, con el pago autorizado en el momento de la entrega por la </w:t>
      </w:r>
      <w:r w:rsidR="00350859">
        <w:rPr>
          <w:lang w:val="es-ES"/>
        </w:rPr>
        <w:t>S</w:t>
      </w:r>
      <w:r w:rsidRPr="008941E0">
        <w:rPr>
          <w:lang w:val="es-ES"/>
        </w:rPr>
        <w:t xml:space="preserve">ecretaría de la CMNUCC. Los resultados </w:t>
      </w:r>
      <w:proofErr w:type="gramStart"/>
      <w:r w:rsidRPr="008941E0">
        <w:rPr>
          <w:lang w:val="es-ES"/>
        </w:rPr>
        <w:t xml:space="preserve">se </w:t>
      </w:r>
      <w:r w:rsidR="00350859">
        <w:rPr>
          <w:lang w:val="es-ES"/>
        </w:rPr>
        <w:t xml:space="preserve"> evaluar</w:t>
      </w:r>
      <w:r w:rsidRPr="008941E0">
        <w:rPr>
          <w:lang w:val="es-ES"/>
        </w:rPr>
        <w:t>á</w:t>
      </w:r>
      <w:r w:rsidR="00350859">
        <w:rPr>
          <w:lang w:val="es-ES"/>
        </w:rPr>
        <w:t>n</w:t>
      </w:r>
      <w:proofErr w:type="gramEnd"/>
      <w:r w:rsidRPr="008941E0">
        <w:rPr>
          <w:lang w:val="es-ES"/>
        </w:rPr>
        <w:t xml:space="preserve"> sobre la base del calendario</w:t>
      </w:r>
      <w:r w:rsidR="00AF5A7F">
        <w:rPr>
          <w:lang w:val="es-ES"/>
        </w:rPr>
        <w:t xml:space="preserve"> </w:t>
      </w:r>
      <w:r w:rsidRPr="008941E0">
        <w:rPr>
          <w:lang w:val="es-ES"/>
        </w:rPr>
        <w:t xml:space="preserve">anterior. </w:t>
      </w:r>
    </w:p>
    <w:p w14:paraId="539CCB2D" w14:textId="77777777" w:rsidR="004F48D7" w:rsidRPr="008941E0" w:rsidRDefault="00421E0A" w:rsidP="00755E30">
      <w:pPr>
        <w:jc w:val="both"/>
        <w:rPr>
          <w:b/>
          <w:caps/>
          <w:u w:val="single"/>
          <w:lang w:val="es-ES"/>
        </w:rPr>
      </w:pPr>
      <w:r w:rsidRPr="008941E0">
        <w:rPr>
          <w:b/>
          <w:caps/>
          <w:u w:val="single"/>
          <w:lang w:val="es-ES"/>
        </w:rPr>
        <w:t>Cualificaciones y competencias</w:t>
      </w:r>
    </w:p>
    <w:p w14:paraId="412B6D4A" w14:textId="7A6AC216" w:rsidR="00A06B89" w:rsidRPr="008941E0" w:rsidRDefault="00421E0A" w:rsidP="00755E30">
      <w:pPr>
        <w:jc w:val="both"/>
        <w:rPr>
          <w:lang w:val="es-ES"/>
        </w:rPr>
      </w:pPr>
      <w:r w:rsidRPr="008941E0">
        <w:rPr>
          <w:lang w:val="es-ES"/>
        </w:rPr>
        <w:t>El experto</w:t>
      </w:r>
      <w:r w:rsidR="00A83EA9">
        <w:rPr>
          <w:lang w:val="es-ES"/>
        </w:rPr>
        <w:t xml:space="preserve"> </w:t>
      </w:r>
      <w:r w:rsidRPr="008941E0">
        <w:rPr>
          <w:lang w:val="es-ES"/>
        </w:rPr>
        <w:t xml:space="preserve">tendrá 3 o más años de experiencia laboral pertinente en política climática, financiación  </w:t>
      </w:r>
      <w:r w:rsidR="00A83EA9">
        <w:rPr>
          <w:lang w:val="es-ES"/>
        </w:rPr>
        <w:t xml:space="preserve"> climática</w:t>
      </w:r>
      <w:r w:rsidRPr="008941E0">
        <w:rPr>
          <w:lang w:val="es-ES"/>
        </w:rPr>
        <w:t>, instituciones financieras, fondos en virtud del Convenio y el Protocolo de Kioto, fuentes multilaterales y bilaterales, públicas y privadas, y otras fuentes de financiación climática;</w:t>
      </w:r>
    </w:p>
    <w:p w14:paraId="3A0C97F5" w14:textId="6CA4C9DD" w:rsidR="00A06B89" w:rsidRPr="008941E0" w:rsidRDefault="00421E0A" w:rsidP="00755E30">
      <w:pPr>
        <w:jc w:val="both"/>
        <w:rPr>
          <w:lang w:val="es-ES"/>
        </w:rPr>
      </w:pPr>
      <w:r w:rsidRPr="008941E0">
        <w:rPr>
          <w:lang w:val="es-ES"/>
        </w:rPr>
        <w:t xml:space="preserve">Han demostrado experiencia técnica en la búsqueda cuantitativa y </w:t>
      </w:r>
      <w:proofErr w:type="gramStart"/>
      <w:r w:rsidRPr="008941E0">
        <w:rPr>
          <w:lang w:val="es-ES"/>
        </w:rPr>
        <w:t xml:space="preserve">cualitativa </w:t>
      </w:r>
      <w:r w:rsidR="00A83EA9">
        <w:rPr>
          <w:lang w:val="es-ES"/>
        </w:rPr>
        <w:t xml:space="preserve"> </w:t>
      </w:r>
      <w:r w:rsidRPr="008941E0">
        <w:rPr>
          <w:lang w:val="es-ES"/>
        </w:rPr>
        <w:t>en</w:t>
      </w:r>
      <w:proofErr w:type="gramEnd"/>
      <w:r w:rsidRPr="008941E0">
        <w:rPr>
          <w:lang w:val="es-ES"/>
        </w:rPr>
        <w:t xml:space="preserve"> finanzas e inversiones climáticas;</w:t>
      </w:r>
    </w:p>
    <w:p w14:paraId="102E774F" w14:textId="77777777" w:rsidR="00A06B89" w:rsidRPr="008941E0" w:rsidRDefault="00421E0A" w:rsidP="00755E30">
      <w:pPr>
        <w:jc w:val="both"/>
        <w:rPr>
          <w:lang w:val="es-ES"/>
        </w:rPr>
      </w:pPr>
      <w:r w:rsidRPr="008941E0">
        <w:rPr>
          <w:lang w:val="es-ES"/>
        </w:rPr>
        <w:t>Tener un título universitario avanzado en economía ambiental, energía, estudios sociales, ambientales, ciencias naturales, ingeniería, estudios de desarrollo, o cualquier disciplina relacionada;</w:t>
      </w:r>
    </w:p>
    <w:p w14:paraId="61A3DB5A" w14:textId="05106463" w:rsidR="00351836" w:rsidRPr="008941E0" w:rsidRDefault="00421E0A" w:rsidP="00755E30">
      <w:pPr>
        <w:jc w:val="both"/>
        <w:rPr>
          <w:lang w:val="es-ES"/>
        </w:rPr>
      </w:pPr>
      <w:r w:rsidRPr="008941E0">
        <w:rPr>
          <w:lang w:val="es-ES"/>
        </w:rPr>
        <w:t>Habilidades del lenguaje: El dominio del inglés y el español escrito y hablado es esencial</w:t>
      </w:r>
      <w:r w:rsidR="00350859">
        <w:rPr>
          <w:lang w:val="es-ES"/>
        </w:rPr>
        <w:t>; y</w:t>
      </w:r>
    </w:p>
    <w:p w14:paraId="6622FABD" w14:textId="60E7DE7D" w:rsidR="00686CA7" w:rsidRPr="008941E0" w:rsidRDefault="00421E0A" w:rsidP="00755E30">
      <w:pPr>
        <w:jc w:val="both"/>
        <w:rPr>
          <w:lang w:val="es-ES"/>
        </w:rPr>
      </w:pPr>
      <w:r w:rsidRPr="008941E0">
        <w:rPr>
          <w:lang w:val="es-ES"/>
        </w:rPr>
        <w:t xml:space="preserve">Solo se considerarán consultores nacionales o internacionales con sede en República Dominicana, ya que se requiere una estrecha coordinación con el Consejo Nacional para el Cambio Climático </w:t>
      </w:r>
      <w:proofErr w:type="gramStart"/>
      <w:r w:rsidRPr="008941E0">
        <w:rPr>
          <w:lang w:val="es-ES"/>
        </w:rPr>
        <w:t>y  Mecanismo</w:t>
      </w:r>
      <w:proofErr w:type="gramEnd"/>
      <w:r w:rsidRPr="008941E0">
        <w:rPr>
          <w:lang w:val="es-ES"/>
        </w:rPr>
        <w:t xml:space="preserve"> de Desarrollo Limpio.</w:t>
      </w:r>
    </w:p>
    <w:p w14:paraId="66FA05D7" w14:textId="77777777" w:rsidR="00686CA7" w:rsidRPr="008941E0" w:rsidRDefault="00686CA7" w:rsidP="00755E30">
      <w:pPr>
        <w:jc w:val="both"/>
        <w:rPr>
          <w:lang w:val="es-ES"/>
        </w:rPr>
      </w:pPr>
    </w:p>
    <w:p w14:paraId="20BEF980" w14:textId="77777777" w:rsidR="004F48D7" w:rsidRPr="008941E0" w:rsidRDefault="00421E0A" w:rsidP="00755E30">
      <w:pPr>
        <w:jc w:val="both"/>
        <w:rPr>
          <w:b/>
          <w:caps/>
          <w:u w:val="single"/>
          <w:lang w:val="es-ES"/>
        </w:rPr>
      </w:pPr>
      <w:r w:rsidRPr="008941E0">
        <w:rPr>
          <w:b/>
          <w:caps/>
          <w:u w:val="single"/>
          <w:lang w:val="es-ES"/>
        </w:rPr>
        <w:t>Remuneración</w:t>
      </w:r>
    </w:p>
    <w:p w14:paraId="597668A8" w14:textId="3A4F47EA" w:rsidR="00351836" w:rsidRPr="008941E0" w:rsidRDefault="00421E0A" w:rsidP="00B007D9">
      <w:pPr>
        <w:jc w:val="both"/>
        <w:rPr>
          <w:lang w:val="es-ES"/>
        </w:rPr>
      </w:pPr>
      <w:r w:rsidRPr="008941E0">
        <w:rPr>
          <w:lang w:val="es-ES"/>
        </w:rPr>
        <w:t>Se proporcionará una</w:t>
      </w:r>
      <w:r w:rsidR="00A83EA9">
        <w:rPr>
          <w:lang w:val="es-ES"/>
        </w:rPr>
        <w:t xml:space="preserve"> </w:t>
      </w:r>
      <w:r w:rsidRPr="008941E0">
        <w:rPr>
          <w:lang w:val="es-ES"/>
        </w:rPr>
        <w:t xml:space="preserve">remuneración </w:t>
      </w:r>
      <w:proofErr w:type="gramStart"/>
      <w:r w:rsidRPr="008941E0">
        <w:rPr>
          <w:lang w:val="es-ES"/>
        </w:rPr>
        <w:t>Competitiva</w:t>
      </w:r>
      <w:r w:rsidR="00A83EA9">
        <w:rPr>
          <w:lang w:val="es-ES"/>
        </w:rPr>
        <w:t xml:space="preserve"> </w:t>
      </w:r>
      <w:r w:rsidRPr="008941E0">
        <w:rPr>
          <w:lang w:val="es-ES"/>
        </w:rPr>
        <w:t xml:space="preserve"> según</w:t>
      </w:r>
      <w:proofErr w:type="gramEnd"/>
      <w:r w:rsidRPr="008941E0">
        <w:rPr>
          <w:lang w:val="es-ES"/>
        </w:rPr>
        <w:t xml:space="preserve"> las normas y reglamentos vigentes de las Naciones Unidas. </w:t>
      </w:r>
    </w:p>
    <w:p w14:paraId="2E99E7F9" w14:textId="77777777" w:rsidR="00686CA7" w:rsidRPr="008941E0" w:rsidRDefault="00421E0A" w:rsidP="00686CA7">
      <w:pPr>
        <w:jc w:val="both"/>
        <w:rPr>
          <w:b/>
          <w:caps/>
          <w:u w:val="single"/>
          <w:lang w:val="es-ES"/>
        </w:rPr>
      </w:pPr>
      <w:r w:rsidRPr="008941E0">
        <w:rPr>
          <w:b/>
          <w:caps/>
          <w:u w:val="single"/>
          <w:lang w:val="es-ES"/>
        </w:rPr>
        <w:t>Cómo aplicar</w:t>
      </w:r>
    </w:p>
    <w:p w14:paraId="6165075C" w14:textId="5E0439A5" w:rsidR="00686CA7" w:rsidRPr="008941E0" w:rsidRDefault="00421E0A" w:rsidP="00686CA7">
      <w:pPr>
        <w:jc w:val="both"/>
        <w:rPr>
          <w:lang w:val="es-ES"/>
        </w:rPr>
      </w:pPr>
      <w:r w:rsidRPr="008941E0">
        <w:rPr>
          <w:lang w:val="es-ES"/>
        </w:rPr>
        <w:t xml:space="preserve">Los candidatos interesados ​​cuya calificación y experiencia coincidan con lo que estamos buscando, deben enviar su solicitud completando un P11 en el siguiente enlace web </w:t>
      </w:r>
      <w:hyperlink r:id="rId11" w:history="1">
        <w:r w:rsidRPr="008941E0">
          <w:rPr>
            <w:rStyle w:val="Hyperlink"/>
            <w:lang w:val="es-ES"/>
          </w:rPr>
          <w:t xml:space="preserve"> https://unfccc.int/secretariat/employment/consultancy.html</w:t>
        </w:r>
      </w:hyperlink>
      <w:r w:rsidRPr="008941E0">
        <w:rPr>
          <w:lang w:val="es-ES"/>
        </w:rPr>
        <w:t xml:space="preserve">. Una copia de la </w:t>
      </w:r>
      <w:proofErr w:type="gramStart"/>
      <w:r w:rsidRPr="008941E0">
        <w:rPr>
          <w:lang w:val="es-ES"/>
        </w:rPr>
        <w:t>misma  se</w:t>
      </w:r>
      <w:proofErr w:type="gramEnd"/>
      <w:r w:rsidRPr="008941E0">
        <w:rPr>
          <w:lang w:val="es-ES"/>
        </w:rPr>
        <w:t xml:space="preserve"> enviará por correo electrónico a </w:t>
      </w:r>
      <w:hyperlink r:id="rId12" w:history="1">
        <w:r w:rsidRPr="008941E0">
          <w:rPr>
            <w:rStyle w:val="Hyperlink"/>
            <w:lang w:val="es-ES"/>
          </w:rPr>
          <w:t>RCCStgeorges@unfccc.int</w:t>
        </w:r>
      </w:hyperlink>
      <w:r w:rsidR="00A83EA9">
        <w:rPr>
          <w:rStyle w:val="Hyperlink"/>
          <w:lang w:val="es-ES"/>
        </w:rPr>
        <w:t xml:space="preserve"> </w:t>
      </w:r>
      <w:r w:rsidRPr="008941E0">
        <w:rPr>
          <w:lang w:val="es-ES"/>
        </w:rPr>
        <w:t>que cont</w:t>
      </w:r>
      <w:r w:rsidR="00A83EA9">
        <w:rPr>
          <w:lang w:val="es-ES"/>
        </w:rPr>
        <w:t>en</w:t>
      </w:r>
      <w:r w:rsidR="00350859">
        <w:rPr>
          <w:lang w:val="es-ES"/>
        </w:rPr>
        <w:t>dr</w:t>
      </w:r>
      <w:r w:rsidRPr="008941E0">
        <w:rPr>
          <w:lang w:val="es-ES"/>
        </w:rPr>
        <w:t>á</w:t>
      </w:r>
      <w:r w:rsidR="00A83EA9">
        <w:rPr>
          <w:lang w:val="es-ES"/>
        </w:rPr>
        <w:t xml:space="preserve"> </w:t>
      </w:r>
      <w:r w:rsidRPr="008941E0">
        <w:rPr>
          <w:lang w:val="es-ES"/>
        </w:rPr>
        <w:t>lo siguiente.</w:t>
      </w:r>
    </w:p>
    <w:p w14:paraId="7BD82E55" w14:textId="04089B50" w:rsidR="00686CA7" w:rsidRPr="008941E0" w:rsidRDefault="00421E0A" w:rsidP="00351836">
      <w:pPr>
        <w:pStyle w:val="ListParagraph"/>
        <w:numPr>
          <w:ilvl w:val="0"/>
          <w:numId w:val="8"/>
        </w:numPr>
        <w:jc w:val="both"/>
        <w:rPr>
          <w:lang w:val="es-ES"/>
        </w:rPr>
      </w:pPr>
      <w:r w:rsidRPr="008941E0">
        <w:rPr>
          <w:lang w:val="es-ES"/>
        </w:rPr>
        <w:t>Un resumen de una propuesta técnica que tendrá una descripción de la metodología para implementar las tareas en ella</w:t>
      </w:r>
      <w:r w:rsidR="00350859">
        <w:rPr>
          <w:lang w:val="es-ES"/>
        </w:rPr>
        <w:t>;</w:t>
      </w:r>
    </w:p>
    <w:p w14:paraId="2F7671E2" w14:textId="77777777" w:rsidR="00DE5476" w:rsidRPr="008941E0" w:rsidRDefault="00421E0A" w:rsidP="00351836">
      <w:pPr>
        <w:pStyle w:val="ListParagraph"/>
        <w:numPr>
          <w:ilvl w:val="0"/>
          <w:numId w:val="8"/>
        </w:numPr>
        <w:jc w:val="both"/>
        <w:rPr>
          <w:lang w:val="es-ES"/>
        </w:rPr>
      </w:pPr>
      <w:r w:rsidRPr="008941E0">
        <w:rPr>
          <w:lang w:val="es-ES"/>
        </w:rPr>
        <w:t>Un calendario para la finalización del trabajo alineado con los requisitos de presentación de informes y el calendario provisional;</w:t>
      </w:r>
      <w:r w:rsidR="00350859">
        <w:rPr>
          <w:lang w:val="es-ES"/>
        </w:rPr>
        <w:t xml:space="preserve"> y</w:t>
      </w:r>
    </w:p>
    <w:p w14:paraId="6DFBC071" w14:textId="77777777" w:rsidR="00584235" w:rsidRPr="008941E0" w:rsidRDefault="00421E0A" w:rsidP="00ED33BA">
      <w:pPr>
        <w:pStyle w:val="ListParagraph"/>
        <w:numPr>
          <w:ilvl w:val="0"/>
          <w:numId w:val="8"/>
        </w:numPr>
        <w:jc w:val="both"/>
        <w:rPr>
          <w:lang w:val="es-ES"/>
        </w:rPr>
      </w:pPr>
      <w:r w:rsidRPr="008941E0">
        <w:rPr>
          <w:lang w:val="es-ES"/>
        </w:rPr>
        <w:t>El P11 complet</w:t>
      </w:r>
      <w:r w:rsidR="00A83EA9">
        <w:rPr>
          <w:lang w:val="es-ES"/>
        </w:rPr>
        <w:t>ad</w:t>
      </w:r>
      <w:r w:rsidRPr="008941E0">
        <w:rPr>
          <w:lang w:val="es-ES"/>
        </w:rPr>
        <w:t>o se presentará en el sistema de la CMNUCC a la lista de expertos</w:t>
      </w:r>
    </w:p>
    <w:p w14:paraId="6E12AAFB" w14:textId="593AFA71" w:rsidR="004C27CE" w:rsidRPr="00F303B8" w:rsidRDefault="00421E0A" w:rsidP="00F2484A">
      <w:pPr>
        <w:jc w:val="both"/>
        <w:rPr>
          <w:lang w:val="es-ES_tradnl"/>
        </w:rPr>
      </w:pPr>
      <w:r w:rsidRPr="008941E0">
        <w:rPr>
          <w:lang w:val="es-ES"/>
        </w:rPr>
        <w:t xml:space="preserve">Sólo los candidatos bajo </w:t>
      </w:r>
      <w:r w:rsidR="00350859">
        <w:rPr>
          <w:lang w:val="es-ES"/>
        </w:rPr>
        <w:t xml:space="preserve">seria </w:t>
      </w:r>
      <w:proofErr w:type="gramStart"/>
      <w:r w:rsidRPr="008941E0">
        <w:rPr>
          <w:lang w:val="es-ES"/>
        </w:rPr>
        <w:t>consideración  serán</w:t>
      </w:r>
      <w:proofErr w:type="gramEnd"/>
      <w:r w:rsidRPr="008941E0">
        <w:rPr>
          <w:lang w:val="es-ES"/>
        </w:rPr>
        <w:t xml:space="preserve"> invitados a una entrevista por teleconferencia.</w:t>
      </w:r>
    </w:p>
    <w:sectPr w:rsidR="004C27CE" w:rsidRPr="00F303B8" w:rsidSect="00CF40CC">
      <w:head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EFAFC" w14:textId="77777777" w:rsidR="003F028B" w:rsidRDefault="003F028B" w:rsidP="008A49C6">
      <w:pPr>
        <w:spacing w:after="0" w:line="240" w:lineRule="auto"/>
      </w:pPr>
      <w:r>
        <w:separator/>
      </w:r>
    </w:p>
  </w:endnote>
  <w:endnote w:type="continuationSeparator" w:id="0">
    <w:p w14:paraId="7238A7A4" w14:textId="77777777" w:rsidR="003F028B" w:rsidRDefault="003F028B" w:rsidP="008A4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A960A" w14:textId="77777777" w:rsidR="003F028B" w:rsidRDefault="003F028B" w:rsidP="008A49C6">
      <w:pPr>
        <w:spacing w:after="0" w:line="240" w:lineRule="auto"/>
      </w:pPr>
      <w:r>
        <w:separator/>
      </w:r>
    </w:p>
  </w:footnote>
  <w:footnote w:type="continuationSeparator" w:id="0">
    <w:p w14:paraId="58EA3518" w14:textId="77777777" w:rsidR="003F028B" w:rsidRDefault="003F028B" w:rsidP="008A49C6">
      <w:pPr>
        <w:spacing w:after="0" w:line="240" w:lineRule="auto"/>
      </w:pPr>
      <w:r>
        <w:continuationSeparator/>
      </w:r>
    </w:p>
  </w:footnote>
  <w:footnote w:id="1">
    <w:p w14:paraId="1BA8B239" w14:textId="77777777" w:rsidR="0032327E" w:rsidRPr="008941E0" w:rsidRDefault="00421E0A">
      <w:pPr>
        <w:pStyle w:val="FootnoteText"/>
        <w:rPr>
          <w:rFonts w:cstheme="minorHAnsi"/>
          <w:sz w:val="16"/>
          <w:szCs w:val="16"/>
        </w:rPr>
      </w:pPr>
      <w:r w:rsidRPr="008941E0">
        <w:rPr>
          <w:rStyle w:val="FootnoteReference"/>
          <w:rFonts w:cstheme="minorHAnsi"/>
          <w:sz w:val="16"/>
          <w:szCs w:val="16"/>
        </w:rPr>
        <w:footnoteRef/>
      </w:r>
      <w:r w:rsidRPr="008941E0">
        <w:rPr>
          <w:rFonts w:cstheme="minorHAnsi"/>
          <w:sz w:val="16"/>
          <w:szCs w:val="16"/>
        </w:rPr>
        <w:t xml:space="preserve"> </w:t>
      </w:r>
      <w:r w:rsidRPr="008941E0">
        <w:rPr>
          <w:rFonts w:cstheme="minorHAnsi"/>
          <w:color w:val="545454"/>
          <w:sz w:val="16"/>
          <w:szCs w:val="16"/>
          <w:shd w:val="clear" w:color="auto" w:fill="FFFFFF"/>
        </w:rPr>
        <w:t>Global Climate Change Alliance </w:t>
      </w:r>
    </w:p>
  </w:footnote>
  <w:footnote w:id="2">
    <w:p w14:paraId="31CA07A7" w14:textId="77777777" w:rsidR="0032327E" w:rsidRDefault="00421E0A">
      <w:pPr>
        <w:pStyle w:val="FootnoteText"/>
      </w:pPr>
      <w:r w:rsidRPr="008941E0">
        <w:rPr>
          <w:rStyle w:val="FootnoteReference"/>
          <w:rFonts w:cstheme="minorHAnsi"/>
          <w:sz w:val="16"/>
          <w:szCs w:val="16"/>
        </w:rPr>
        <w:footnoteRef/>
      </w:r>
      <w:r w:rsidRPr="008941E0">
        <w:rPr>
          <w:rFonts w:cstheme="minorHAnsi"/>
          <w:sz w:val="16"/>
          <w:szCs w:val="16"/>
        </w:rPr>
        <w:t xml:space="preserve"> </w:t>
      </w:r>
      <w:r w:rsidRPr="008941E0">
        <w:rPr>
          <w:rFonts w:cstheme="minorHAnsi"/>
          <w:color w:val="545454"/>
          <w:sz w:val="16"/>
          <w:szCs w:val="16"/>
          <w:shd w:val="clear" w:color="auto" w:fill="FFFFFF"/>
        </w:rPr>
        <w:t>Collaborative Instruments for Ambitious Climate Action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070D5" w14:textId="1EA9D117" w:rsidR="00ED33BA" w:rsidRDefault="008941E0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73C72749" wp14:editId="1A8697AB">
          <wp:simplePos x="0" y="0"/>
          <wp:positionH relativeFrom="column">
            <wp:posOffset>142875</wp:posOffset>
          </wp:positionH>
          <wp:positionV relativeFrom="paragraph">
            <wp:posOffset>-49530</wp:posOffset>
          </wp:positionV>
          <wp:extent cx="1838325" cy="836281"/>
          <wp:effectExtent l="0" t="0" r="0" b="2540"/>
          <wp:wrapThrough wrapText="bothSides">
            <wp:wrapPolygon edited="0">
              <wp:start x="0" y="0"/>
              <wp:lineTo x="0" y="21173"/>
              <wp:lineTo x="21264" y="21173"/>
              <wp:lineTo x="21264" y="0"/>
              <wp:lineTo x="0" y="0"/>
            </wp:wrapPolygon>
          </wp:wrapThrough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NCCMD (ACT. 23.6.17)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5" cy="8362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D33BA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E3D832B" wp14:editId="68DDAFA8">
          <wp:simplePos x="0" y="0"/>
          <wp:positionH relativeFrom="margin">
            <wp:align>right</wp:align>
          </wp:positionH>
          <wp:positionV relativeFrom="paragraph">
            <wp:posOffset>-11430</wp:posOffset>
          </wp:positionV>
          <wp:extent cx="1238250" cy="688340"/>
          <wp:effectExtent l="0" t="0" r="0" b="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cc_logo_-_st_geroges_250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11FCE"/>
    <w:multiLevelType w:val="hybridMultilevel"/>
    <w:tmpl w:val="C81C95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106DD5"/>
    <w:multiLevelType w:val="hybridMultilevel"/>
    <w:tmpl w:val="8752E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F2B1C"/>
    <w:multiLevelType w:val="hybridMultilevel"/>
    <w:tmpl w:val="FFAC30D2"/>
    <w:lvl w:ilvl="0" w:tplc="3F1EC2AE">
      <w:numFmt w:val="bullet"/>
      <w:lvlText w:val=""/>
      <w:lvlJc w:val="left"/>
      <w:pPr>
        <w:ind w:left="774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65C41E4"/>
    <w:multiLevelType w:val="hybridMultilevel"/>
    <w:tmpl w:val="79B6B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36219"/>
    <w:multiLevelType w:val="hybridMultilevel"/>
    <w:tmpl w:val="27EE2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7123A"/>
    <w:multiLevelType w:val="hybridMultilevel"/>
    <w:tmpl w:val="EB1A07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613729"/>
    <w:multiLevelType w:val="hybridMultilevel"/>
    <w:tmpl w:val="7980C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1601B4"/>
    <w:multiLevelType w:val="hybridMultilevel"/>
    <w:tmpl w:val="298C5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5259E"/>
    <w:multiLevelType w:val="hybridMultilevel"/>
    <w:tmpl w:val="5CDA7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B4C612C"/>
    <w:multiLevelType w:val="hybridMultilevel"/>
    <w:tmpl w:val="21701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7657F"/>
    <w:multiLevelType w:val="hybridMultilevel"/>
    <w:tmpl w:val="FEC0A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92"/>
    <w:rsid w:val="0002158E"/>
    <w:rsid w:val="00027B86"/>
    <w:rsid w:val="00036FF5"/>
    <w:rsid w:val="00056C88"/>
    <w:rsid w:val="0006362A"/>
    <w:rsid w:val="00067104"/>
    <w:rsid w:val="0009169F"/>
    <w:rsid w:val="000C1B58"/>
    <w:rsid w:val="000D0992"/>
    <w:rsid w:val="000D2C9F"/>
    <w:rsid w:val="000E4C47"/>
    <w:rsid w:val="000F67DB"/>
    <w:rsid w:val="00105DA0"/>
    <w:rsid w:val="00113385"/>
    <w:rsid w:val="00127A7C"/>
    <w:rsid w:val="00142299"/>
    <w:rsid w:val="00146A0B"/>
    <w:rsid w:val="0014733F"/>
    <w:rsid w:val="0017780D"/>
    <w:rsid w:val="0018353B"/>
    <w:rsid w:val="00184785"/>
    <w:rsid w:val="001A19AF"/>
    <w:rsid w:val="001A63D4"/>
    <w:rsid w:val="001C2082"/>
    <w:rsid w:val="001C7925"/>
    <w:rsid w:val="001D012C"/>
    <w:rsid w:val="001E22C2"/>
    <w:rsid w:val="00204685"/>
    <w:rsid w:val="00206074"/>
    <w:rsid w:val="002149F0"/>
    <w:rsid w:val="00245F85"/>
    <w:rsid w:val="00250977"/>
    <w:rsid w:val="00255545"/>
    <w:rsid w:val="002936C5"/>
    <w:rsid w:val="002E2BB9"/>
    <w:rsid w:val="002E30BE"/>
    <w:rsid w:val="00301F13"/>
    <w:rsid w:val="0032327E"/>
    <w:rsid w:val="00350859"/>
    <w:rsid w:val="00350C62"/>
    <w:rsid w:val="00351836"/>
    <w:rsid w:val="003C6039"/>
    <w:rsid w:val="003D0B40"/>
    <w:rsid w:val="003E2252"/>
    <w:rsid w:val="003E49B4"/>
    <w:rsid w:val="003F018C"/>
    <w:rsid w:val="003F028B"/>
    <w:rsid w:val="003F29AE"/>
    <w:rsid w:val="003F4AA0"/>
    <w:rsid w:val="00412BFC"/>
    <w:rsid w:val="00413557"/>
    <w:rsid w:val="00421E0A"/>
    <w:rsid w:val="00437EF0"/>
    <w:rsid w:val="00446471"/>
    <w:rsid w:val="00446AA3"/>
    <w:rsid w:val="00470CCF"/>
    <w:rsid w:val="00484F60"/>
    <w:rsid w:val="00494277"/>
    <w:rsid w:val="00495964"/>
    <w:rsid w:val="004B1FD0"/>
    <w:rsid w:val="004C27CE"/>
    <w:rsid w:val="004D673D"/>
    <w:rsid w:val="004D704E"/>
    <w:rsid w:val="004F48D7"/>
    <w:rsid w:val="0051514F"/>
    <w:rsid w:val="00516A3E"/>
    <w:rsid w:val="00531953"/>
    <w:rsid w:val="00547B40"/>
    <w:rsid w:val="005631A3"/>
    <w:rsid w:val="00570EC2"/>
    <w:rsid w:val="0057294E"/>
    <w:rsid w:val="0057716E"/>
    <w:rsid w:val="00584235"/>
    <w:rsid w:val="00587B5C"/>
    <w:rsid w:val="005A5023"/>
    <w:rsid w:val="005B06A6"/>
    <w:rsid w:val="005B1A06"/>
    <w:rsid w:val="005C3B5A"/>
    <w:rsid w:val="005D1F28"/>
    <w:rsid w:val="00604688"/>
    <w:rsid w:val="00617851"/>
    <w:rsid w:val="006327F3"/>
    <w:rsid w:val="0066260F"/>
    <w:rsid w:val="00685A53"/>
    <w:rsid w:val="00686CA7"/>
    <w:rsid w:val="00695767"/>
    <w:rsid w:val="006A4FF9"/>
    <w:rsid w:val="006A5252"/>
    <w:rsid w:val="006A62CA"/>
    <w:rsid w:val="006B0D9F"/>
    <w:rsid w:val="006C01F4"/>
    <w:rsid w:val="006C3CDD"/>
    <w:rsid w:val="006D0A80"/>
    <w:rsid w:val="006E090D"/>
    <w:rsid w:val="006E141E"/>
    <w:rsid w:val="006E252B"/>
    <w:rsid w:val="00700986"/>
    <w:rsid w:val="00710BF4"/>
    <w:rsid w:val="00716288"/>
    <w:rsid w:val="00722987"/>
    <w:rsid w:val="0073525C"/>
    <w:rsid w:val="007542D2"/>
    <w:rsid w:val="00755E30"/>
    <w:rsid w:val="00772AF7"/>
    <w:rsid w:val="00773BA4"/>
    <w:rsid w:val="00781E5E"/>
    <w:rsid w:val="00787887"/>
    <w:rsid w:val="007A4331"/>
    <w:rsid w:val="007C1665"/>
    <w:rsid w:val="007C48F7"/>
    <w:rsid w:val="007D4B71"/>
    <w:rsid w:val="007D51B6"/>
    <w:rsid w:val="007D5B12"/>
    <w:rsid w:val="007F0B5C"/>
    <w:rsid w:val="007F5700"/>
    <w:rsid w:val="008000EF"/>
    <w:rsid w:val="00811E7E"/>
    <w:rsid w:val="008236BA"/>
    <w:rsid w:val="0085219F"/>
    <w:rsid w:val="00861B5C"/>
    <w:rsid w:val="00863AB3"/>
    <w:rsid w:val="0086539B"/>
    <w:rsid w:val="00867055"/>
    <w:rsid w:val="00881DE0"/>
    <w:rsid w:val="0088300E"/>
    <w:rsid w:val="008941E0"/>
    <w:rsid w:val="008A49C6"/>
    <w:rsid w:val="008A7C95"/>
    <w:rsid w:val="008A7F80"/>
    <w:rsid w:val="008B172D"/>
    <w:rsid w:val="008C269C"/>
    <w:rsid w:val="00901583"/>
    <w:rsid w:val="0090735C"/>
    <w:rsid w:val="0090757F"/>
    <w:rsid w:val="00910C39"/>
    <w:rsid w:val="009659D7"/>
    <w:rsid w:val="00972DFD"/>
    <w:rsid w:val="00976C2F"/>
    <w:rsid w:val="00976F44"/>
    <w:rsid w:val="009915C6"/>
    <w:rsid w:val="009A18D0"/>
    <w:rsid w:val="009A26E6"/>
    <w:rsid w:val="009D6260"/>
    <w:rsid w:val="009E3EC2"/>
    <w:rsid w:val="00A06B89"/>
    <w:rsid w:val="00A65B1F"/>
    <w:rsid w:val="00A72495"/>
    <w:rsid w:val="00A83EA9"/>
    <w:rsid w:val="00A92CAB"/>
    <w:rsid w:val="00A96E98"/>
    <w:rsid w:val="00A97736"/>
    <w:rsid w:val="00AC2763"/>
    <w:rsid w:val="00AF5A7F"/>
    <w:rsid w:val="00B007D9"/>
    <w:rsid w:val="00B00E77"/>
    <w:rsid w:val="00B06847"/>
    <w:rsid w:val="00B25B65"/>
    <w:rsid w:val="00B327FD"/>
    <w:rsid w:val="00B620A2"/>
    <w:rsid w:val="00B67B6C"/>
    <w:rsid w:val="00B74623"/>
    <w:rsid w:val="00B763C6"/>
    <w:rsid w:val="00B94D0E"/>
    <w:rsid w:val="00BA6EE7"/>
    <w:rsid w:val="00BA7A2A"/>
    <w:rsid w:val="00BC6258"/>
    <w:rsid w:val="00BD064C"/>
    <w:rsid w:val="00BD5653"/>
    <w:rsid w:val="00BF131E"/>
    <w:rsid w:val="00BF4A34"/>
    <w:rsid w:val="00C26D27"/>
    <w:rsid w:val="00C52198"/>
    <w:rsid w:val="00C75D69"/>
    <w:rsid w:val="00C77BB3"/>
    <w:rsid w:val="00CA0A80"/>
    <w:rsid w:val="00CA56E9"/>
    <w:rsid w:val="00CB71B6"/>
    <w:rsid w:val="00CE53B6"/>
    <w:rsid w:val="00CF03D3"/>
    <w:rsid w:val="00CF40CC"/>
    <w:rsid w:val="00D12DBC"/>
    <w:rsid w:val="00D24FE5"/>
    <w:rsid w:val="00D51472"/>
    <w:rsid w:val="00D67501"/>
    <w:rsid w:val="00D71EAA"/>
    <w:rsid w:val="00D94799"/>
    <w:rsid w:val="00DC4D53"/>
    <w:rsid w:val="00DD0917"/>
    <w:rsid w:val="00DD447F"/>
    <w:rsid w:val="00DE4634"/>
    <w:rsid w:val="00DE5476"/>
    <w:rsid w:val="00E740D0"/>
    <w:rsid w:val="00E74E24"/>
    <w:rsid w:val="00E83257"/>
    <w:rsid w:val="00E85B65"/>
    <w:rsid w:val="00E90AA5"/>
    <w:rsid w:val="00EC70AE"/>
    <w:rsid w:val="00ED1D76"/>
    <w:rsid w:val="00ED33BA"/>
    <w:rsid w:val="00ED464F"/>
    <w:rsid w:val="00EE009E"/>
    <w:rsid w:val="00EE3CBD"/>
    <w:rsid w:val="00F205C7"/>
    <w:rsid w:val="00F2484A"/>
    <w:rsid w:val="00F303B8"/>
    <w:rsid w:val="00F51A39"/>
    <w:rsid w:val="00F76E4D"/>
    <w:rsid w:val="00F85425"/>
    <w:rsid w:val="00F94DBF"/>
    <w:rsid w:val="00FB0D2A"/>
    <w:rsid w:val="00FB0EE5"/>
    <w:rsid w:val="00FD5F82"/>
    <w:rsid w:val="00FD611D"/>
    <w:rsid w:val="00FE7907"/>
    <w:rsid w:val="00FF0E85"/>
    <w:rsid w:val="00FF5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7411AF"/>
  <w15:docId w15:val="{B3203298-62E5-4EAB-961D-EC7C62D4F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8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183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10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671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1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1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1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10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A4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9C6"/>
  </w:style>
  <w:style w:type="paragraph" w:styleId="Footer">
    <w:name w:val="footer"/>
    <w:basedOn w:val="Normal"/>
    <w:link w:val="FooterChar"/>
    <w:uiPriority w:val="99"/>
    <w:unhideWhenUsed/>
    <w:rsid w:val="008A4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9C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5A5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303B8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6CA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6CA7"/>
    <w:rPr>
      <w:rFonts w:ascii="Consolas" w:hAnsi="Consolas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32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32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32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CCStgeorges@unfccc.in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nfccc.int/secretariat/employment/consultancy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0b8a83bd4644a297bc8c982d6638a5 xmlns="72bc5080-7568-4580-b303-80aa1efadb7c">
      <Terms xmlns="http://schemas.microsoft.com/office/infopath/2007/PartnerControls"/>
    </ge0b8a83bd4644a297bc8c982d6638a5>
    <e83383dd16804ab2aa3600b4892611ef xmlns="72bc5080-7568-4580-b303-80aa1efadb7c">
      <Terms xmlns="http://schemas.microsoft.com/office/infopath/2007/PartnerControls"/>
    </e83383dd16804ab2aa3600b4892611ef>
    <gf45839941354e2da62c038b9f2067cd xmlns="72bc5080-7568-4580-b303-80aa1efadb7c">
      <Terms xmlns="http://schemas.microsoft.com/office/infopath/2007/PartnerControls"/>
    </gf45839941354e2da62c038b9f2067cd>
    <TaxCatchAll xmlns="1fabc5c5-5834-425c-8f12-101eab18b04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upporting Document" ma:contentTypeID="0x0101008095AA79BAF3614C98AD5FA0C930E59C000391CB74978CFD4186C3D18776F9F414" ma:contentTypeVersion="7" ma:contentTypeDescription="Create a new document." ma:contentTypeScope="" ma:versionID="9962af1fe72d05bd205a994ad25e9eeb">
  <xsd:schema xmlns:xsd="http://www.w3.org/2001/XMLSchema" xmlns:xs="http://www.w3.org/2001/XMLSchema" xmlns:p="http://schemas.microsoft.com/office/2006/metadata/properties" xmlns:ns2="http://schemas.microsoft.com/sharepoint/v3/fields" xmlns:ns3="72bc5080-7568-4580-b303-80aa1efadb7c" xmlns:ns4="1fabc5c5-5834-425c-8f12-101eab18b045" targetNamespace="http://schemas.microsoft.com/office/2006/metadata/properties" ma:root="true" ma:fieldsID="88b2bb530c6d5bbc4e4f4a9f51376eeb" ns2:_="" ns3:_="" ns4:_="">
    <xsd:import namespace="http://schemas.microsoft.com/sharepoint/v3/fields"/>
    <xsd:import namespace="72bc5080-7568-4580-b303-80aa1efadb7c"/>
    <xsd:import namespace="1fabc5c5-5834-425c-8f12-101eab18b045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ge0b8a83bd4644a297bc8c982d6638a5" minOccurs="0"/>
                <xsd:element ref="ns4:TaxCatchAll" minOccurs="0"/>
                <xsd:element ref="ns4:TaxCatchAllLabel" minOccurs="0"/>
                <xsd:element ref="ns3:e83383dd16804ab2aa3600b4892611ef" minOccurs="0"/>
                <xsd:element ref="ns3:gf45839941354e2da62c038b9f2067c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default="" ma:internalName="Description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c5080-7568-4580-b303-80aa1efadb7c" elementFormDefault="qualified">
    <xsd:import namespace="http://schemas.microsoft.com/office/2006/documentManagement/types"/>
    <xsd:import namespace="http://schemas.microsoft.com/office/infopath/2007/PartnerControls"/>
    <xsd:element name="ge0b8a83bd4644a297bc8c982d6638a5" ma:index="9" nillable="true" ma:taxonomy="true" ma:internalName="ge0b8a83bd4644a297bc8c982d6638a5" ma:taxonomyFieldName="Document_x0020_Types" ma:displayName="Document Types" ma:default="" ma:fieldId="{0e0b8a83-bd46-44a2-97bc-8c982d6638a5}" ma:sspId="ef8c3d84-7f92-45cd-b01d-56dc88a456fa" ma:termSetId="97072322-3d6a-40d1-a10e-90894fd43b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83383dd16804ab2aa3600b4892611ef" ma:index="13" nillable="true" ma:taxonomy="true" ma:internalName="e83383dd16804ab2aa3600b4892611ef" ma:taxonomyFieldName="Enterprise_x0020_Keywords" ma:displayName="Enterprise Keywords" ma:default="" ma:fieldId="{e83383dd-1680-4ab2-aa36-00b4892611ef}" ma:sspId="ef8c3d84-7f92-45cd-b01d-56dc88a456fa" ma:termSetId="ce16d9c3-1be4-4022-9de2-d4e314b4b7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45839941354e2da62c038b9f2067cd" ma:index="15" nillable="true" ma:taxonomy="true" ma:internalName="gf45839941354e2da62c038b9f2067cd" ma:taxonomyFieldName="Topics" ma:displayName="Topics" ma:default="" ma:fieldId="{0f458399-4135-4e2d-a62c-038b9f2067cd}" ma:sspId="ef8c3d84-7f92-45cd-b01d-56dc88a456fa" ma:termSetId="6d73896b-a30d-450f-931e-bcec54fbb45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bc5c5-5834-425c-8f12-101eab18b04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d26ab70-9104-4edc-9ee2-2839763c0860}" ma:internalName="TaxCatchAll" ma:showField="CatchAllData" ma:web="1fabc5c5-5834-425c-8f12-101eab18b0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5d26ab70-9104-4edc-9ee2-2839763c0860}" ma:internalName="TaxCatchAllLabel" ma:readOnly="true" ma:showField="CatchAllDataLabel" ma:web="1fabc5c5-5834-425c-8f12-101eab18b0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6BA22-7C7D-4508-8428-EC3360AF84CD}">
  <ds:schemaRefs>
    <ds:schemaRef ds:uri="http://schemas.microsoft.com/office/2006/metadata/properties"/>
    <ds:schemaRef ds:uri="http://schemas.microsoft.com/office/infopath/2007/PartnerControls"/>
    <ds:schemaRef ds:uri="72bc5080-7568-4580-b303-80aa1efadb7c"/>
    <ds:schemaRef ds:uri="1fabc5c5-5834-425c-8f12-101eab18b045"/>
  </ds:schemaRefs>
</ds:datastoreItem>
</file>

<file path=customXml/itemProps2.xml><?xml version="1.0" encoding="utf-8"?>
<ds:datastoreItem xmlns:ds="http://schemas.openxmlformats.org/officeDocument/2006/customXml" ds:itemID="{B520A963-541E-4DA5-BC91-521430CFF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72bc5080-7568-4580-b303-80aa1efadb7c"/>
    <ds:schemaRef ds:uri="1fabc5c5-5834-425c-8f12-101eab18b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AF0E1A-289C-4DE2-A0A5-B25238B71C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4B1F29-7D3C-4882-AB87-298C6752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1689</Words>
  <Characters>9294</Characters>
  <Application>Microsoft Office Word</Application>
  <DocSecurity>0</DocSecurity>
  <Lines>77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TOR for consultancy</vt:lpstr>
      <vt:lpstr>TOR for consultancy</vt:lpstr>
    </vt:vector>
  </TitlesOfParts>
  <Company>UNFCCC</Company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 for consultancy</dc:title>
  <dc:creator>Namazzi Gloria</dc:creator>
  <cp:lastModifiedBy>Jeniffer Hanna</cp:lastModifiedBy>
  <cp:revision>3</cp:revision>
  <dcterms:created xsi:type="dcterms:W3CDTF">2019-12-09T11:24:00Z</dcterms:created>
  <dcterms:modified xsi:type="dcterms:W3CDTF">2019-12-09T11:25:00Z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0x0101008095AA79BAF3614C98AD5FA0C930E59C000391CB74978CFD4186C3D18776F9F414</vt:lpwstr>
  </property>
  <property fmtid="{D5CDD505-2E9C-101B-9397-08002B2CF9AE}" pid="3" name="Request ID">
    <vt:lpwstr>2019-01056</vt:lpwstr>
  </property>
  <property fmtid="{D5CDD505-2E9C-101B-9397-08002B2CF9AE}" pid="4" name="Document Types">
    <vt:lpwstr/>
  </property>
  <property fmtid="{D5CDD505-2E9C-101B-9397-08002B2CF9AE}" pid="5" name="Cleared by AS Director">
    <vt:lpwstr>No</vt:lpwstr>
  </property>
  <property fmtid="{D5CDD505-2E9C-101B-9397-08002B2CF9AE}" pid="6" name="LA Legal Officer">
    <vt:lpwstr/>
  </property>
  <property fmtid="{D5CDD505-2E9C-101B-9397-08002B2CF9AE}" pid="7" name="Cleared by DES">
    <vt:lpwstr>No</vt:lpwstr>
  </property>
  <property fmtid="{D5CDD505-2E9C-101B-9397-08002B2CF9AE}" pid="8" name="Cleared by LA Officer">
    <vt:lpwstr>No</vt:lpwstr>
  </property>
  <property fmtid="{D5CDD505-2E9C-101B-9397-08002B2CF9AE}" pid="9" name="Document category">
    <vt:lpwstr>N/A</vt:lpwstr>
  </property>
  <property fmtid="{D5CDD505-2E9C-101B-9397-08002B2CF9AE}" pid="10" name="LA Legal Officer 2">
    <vt:lpwstr/>
  </property>
  <property fmtid="{D5CDD505-2E9C-101B-9397-08002B2CF9AE}" pid="11" name="Topics">
    <vt:lpwstr/>
  </property>
  <property fmtid="{D5CDD505-2E9C-101B-9397-08002B2CF9AE}" pid="12" name="MP_InheritedTags">
    <vt:lpwstr>((un40)(un37)(un1))((un5395)(un57)(un38)(un1))((un12)(un5)(un2))((un23)(un6)(un2))((un26)(un10)(un2))((un33)(un7)(un2))((un58)(un36)(un1))((un67)(un59)(un3))((un830)(un690)(un676)(un675)(un3))</vt:lpwstr>
  </property>
  <property fmtid="{D5CDD505-2E9C-101B-9397-08002B2CF9AE}" pid="13" name="Cleared by AS Finance/Budget Officer">
    <vt:lpwstr>No</vt:lpwstr>
  </property>
  <property fmtid="{D5CDD505-2E9C-101B-9397-08002B2CF9AE}" pid="14" name="Cleared by HR">
    <vt:lpwstr>No</vt:lpwstr>
  </property>
  <property fmtid="{D5CDD505-2E9C-101B-9397-08002B2CF9AE}" pid="15" name="Programme">
    <vt:lpwstr/>
  </property>
  <property fmtid="{D5CDD505-2E9C-101B-9397-08002B2CF9AE}" pid="16" name="Cleared by LA Director">
    <vt:lpwstr>No</vt:lpwstr>
  </property>
  <property fmtid="{D5CDD505-2E9C-101B-9397-08002B2CF9AE}" pid="17" name="Enterprise Keywords">
    <vt:lpwstr/>
  </property>
</Properties>
</file>